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1"/>
        <w:jc w:val="center"/>
        <w:rPr>
          <w:color w:val="FF0000"/>
        </w:rPr>
      </w:pPr>
      <w:r>
        <w:rPr>
          <w:rFonts w:hint="eastAsia"/>
          <w:color w:val="FF0000"/>
        </w:rPr>
        <w:t>竞拍须知</w:t>
      </w:r>
    </w:p>
    <w:p>
      <w:pPr>
        <w:rPr>
          <w:rFonts w:hint="eastAsia"/>
        </w:rPr>
      </w:pPr>
    </w:p>
    <w:p>
      <w:pPr>
        <w:spacing w:line="400" w:lineRule="exact"/>
        <w:ind w:firstLineChars="200" w:firstLine="420"/>
      </w:pPr>
      <w:r>
        <w:rPr>
          <w:rFonts w:hint="eastAsia"/>
        </w:rPr>
        <w:t>受中华人民共和国贵阳海关委托，我公司将于</w:t>
      </w:r>
      <w:r>
        <w:rPr>
          <w:rFonts w:ascii="宋体" w:eastAsia="宋体" w:cs="宋体" w:hint="eastAsia"/>
          <w:b/>
          <w:bCs/>
        </w:rPr>
        <w:t>20</w:t>
      </w:r>
      <w:r>
        <w:rPr>
          <w:rFonts w:ascii="宋体" w:eastAsia="宋体" w:cs="宋体" w:hint="eastAsia"/>
          <w:b/>
          <w:bCs/>
          <w:lang w:val="en-US" w:eastAsia="zh-CN"/>
        </w:rPr>
        <w:t>24</w:t>
      </w:r>
      <w:r>
        <w:rPr>
          <w:rFonts w:ascii="宋体" w:eastAsia="宋体" w:cs="宋体" w:hint="eastAsia"/>
          <w:b/>
          <w:bCs/>
        </w:rPr>
        <w:t>年</w:t>
      </w:r>
      <w:r>
        <w:rPr>
          <w:rFonts w:ascii="宋体" w:eastAsia="宋体" w:cs="宋体" w:hint="eastAsia"/>
          <w:b/>
          <w:bCs/>
          <w:lang w:val="en-US" w:eastAsia="zh-CN"/>
        </w:rPr>
        <w:t>11</w:t>
      </w:r>
      <w:r>
        <w:rPr>
          <w:rFonts w:ascii="宋体" w:eastAsia="宋体" w:cs="宋体" w:hint="eastAsia"/>
          <w:b/>
          <w:bCs/>
        </w:rPr>
        <w:t>月</w:t>
      </w:r>
      <w:r>
        <w:rPr>
          <w:rFonts w:ascii="宋体" w:eastAsia="宋体" w:cs="宋体"/>
          <w:b/>
          <w:bCs/>
          <w:lang w:val="en-US" w:eastAsia="zh-CN"/>
        </w:rPr>
        <w:t>14</w:t>
      </w:r>
      <w:r>
        <w:rPr>
          <w:rFonts w:ascii="宋体" w:eastAsia="宋体" w:cs="宋体" w:hint="eastAsia"/>
          <w:b/>
          <w:bCs/>
        </w:rPr>
        <w:t>日上午</w:t>
      </w:r>
      <w:r>
        <w:rPr>
          <w:rFonts w:ascii="宋体" w:eastAsia="宋体" w:cs="宋体" w:hint="eastAsia"/>
          <w:b/>
          <w:bCs/>
          <w:lang w:val="en-US" w:eastAsia="zh-CN"/>
        </w:rPr>
        <w:t>10</w:t>
      </w:r>
      <w:r>
        <w:rPr>
          <w:rFonts w:ascii="宋体" w:eastAsia="宋体" w:cs="宋体" w:hint="eastAsia"/>
          <w:b/>
          <w:bCs/>
        </w:rPr>
        <w:t>时至202</w:t>
      </w:r>
      <w:r>
        <w:rPr>
          <w:rFonts w:ascii="宋体" w:eastAsia="宋体" w:cs="宋体" w:hint="eastAsia"/>
          <w:b/>
          <w:bCs/>
          <w:lang w:val="en-US" w:eastAsia="zh-CN"/>
        </w:rPr>
        <w:t>4</w:t>
      </w:r>
      <w:r>
        <w:rPr>
          <w:rFonts w:ascii="宋体" w:eastAsia="宋体" w:cs="宋体" w:hint="eastAsia"/>
          <w:b/>
          <w:bCs/>
        </w:rPr>
        <w:t>年</w:t>
      </w:r>
      <w:r>
        <w:rPr>
          <w:rFonts w:ascii="宋体" w:eastAsia="宋体" w:cs="宋体" w:hint="eastAsia"/>
          <w:b/>
          <w:bCs/>
          <w:lang w:val="en-US" w:eastAsia="zh-CN"/>
        </w:rPr>
        <w:t>11</w:t>
      </w:r>
      <w:r>
        <w:rPr>
          <w:rFonts w:ascii="宋体" w:eastAsia="宋体" w:cs="宋体" w:hint="eastAsia"/>
          <w:b/>
          <w:bCs/>
        </w:rPr>
        <w:t>月</w:t>
      </w:r>
      <w:r>
        <w:rPr>
          <w:rFonts w:ascii="宋体" w:eastAsia="宋体" w:cs="宋体"/>
          <w:b/>
          <w:bCs/>
          <w:lang w:val="en-US" w:eastAsia="zh-CN"/>
        </w:rPr>
        <w:t>15</w:t>
      </w:r>
      <w:r>
        <w:rPr>
          <w:rFonts w:ascii="宋体" w:eastAsia="宋体" w:cs="宋体" w:hint="eastAsia"/>
          <w:b/>
          <w:bCs/>
        </w:rPr>
        <w:t>日上午10时止</w:t>
      </w:r>
      <w:r>
        <w:rPr>
          <w:rFonts w:hint="eastAsia"/>
        </w:rPr>
        <w:t>（延时的除外）在阿里巴巴旗下资产处置平台（网址：http://zc-paimai.taobao.com）</w:t>
      </w:r>
      <w:r>
        <w:rPr>
          <w:rFonts w:hint="eastAsia"/>
          <w:color w:val="FF0000"/>
        </w:rPr>
        <w:t>按标的物现状进行公开拍卖</w:t>
      </w:r>
      <w:r>
        <w:rPr>
          <w:rFonts w:hint="eastAsia"/>
        </w:rPr>
        <w:t>，现就有关竞买须知敬告各位竞买人：</w:t>
      </w:r>
    </w:p>
    <w:p>
      <w:pPr>
        <w:spacing w:line="400" w:lineRule="exact"/>
        <w:ind w:firstLineChars="200" w:firstLine="420"/>
      </w:pPr>
      <w:r>
        <w:rPr>
          <w:rFonts w:hint="eastAsia"/>
        </w:rPr>
        <w:t>一、本须知依照《中华人民共和国拍卖法》及相关法律法规制定，本公司一切拍卖活动是在“公开、公平、公正、诚实守信”的原则下进行，具有法律效力。</w:t>
      </w:r>
    </w:p>
    <w:p>
      <w:pPr>
        <w:spacing w:line="400" w:lineRule="exact"/>
        <w:ind w:firstLineChars="200" w:firstLine="420"/>
      </w:pPr>
      <w:r>
        <w:rPr>
          <w:rFonts w:hint="eastAsia"/>
        </w:rPr>
        <w:t>二、</w:t>
      </w:r>
      <w:r>
        <w:rPr>
          <w:rFonts w:hint="eastAsia"/>
          <w:lang w:val="en-US" w:eastAsia="zh-CN"/>
        </w:rPr>
        <w:t>竞买人</w:t>
      </w:r>
      <w:r>
        <w:rPr>
          <w:rFonts w:hint="eastAsia"/>
          <w:b/>
          <w:bCs/>
          <w:color w:val="FF0000"/>
          <w:lang w:val="en-US" w:eastAsia="zh-CN"/>
        </w:rPr>
        <w:t>须为中华人民共和国境内具备酒类批发经营资格的企业法人</w:t>
      </w:r>
      <w:r>
        <w:rPr>
          <w:rFonts w:hint="eastAsia"/>
          <w:lang w:val="en-US" w:eastAsia="zh-CN"/>
        </w:rPr>
        <w:t>。竞买人前往贵州省拍卖有限公司报名时需由法定代表人持本人身份证（原件）和加盖公章《营业执照》原件的扫描件或复印件完成报名手续待拍卖公司审核通过后方可参加竞拍，委托代理人报名时须持本人身份证外还需向拍卖公司提供授权委托书（加盖公章），报名时，参与竞买须交纳拍买</w:t>
      </w:r>
      <w:r>
        <w:rPr>
          <w:rFonts w:hint="eastAsia"/>
          <w:b/>
          <w:bCs/>
          <w:color w:val="FF0000"/>
          <w:lang w:val="en-US" w:eastAsia="zh-CN"/>
        </w:rPr>
        <w:t>保证金</w:t>
      </w:r>
      <w:r>
        <w:rPr>
          <w:rFonts w:ascii="宋体" w:eastAsia="宋体" w:cs="宋体"/>
          <w:b/>
          <w:bCs/>
          <w:color w:val="FF0000"/>
          <w:lang w:val="en-US" w:eastAsia="zh-CN"/>
        </w:rPr>
        <w:t>20,000</w:t>
      </w:r>
      <w:r>
        <w:rPr>
          <w:rFonts w:ascii="宋体" w:eastAsia="宋体" w:cs="宋体" w:hint="eastAsia"/>
          <w:b/>
          <w:bCs/>
          <w:color w:val="FF0000"/>
        </w:rPr>
        <w:t>元</w:t>
      </w:r>
      <w:r>
        <w:rPr>
          <w:rFonts w:hint="eastAsia"/>
          <w:b/>
          <w:bCs/>
          <w:color w:val="FF0000"/>
          <w:lang w:val="en-US" w:eastAsia="zh-CN"/>
        </w:rPr>
        <w:t>整</w:t>
      </w:r>
      <w:r>
        <w:rPr>
          <w:rFonts w:hint="eastAsia"/>
          <w:lang w:val="en-US" w:eastAsia="zh-CN"/>
        </w:rPr>
        <w:t>，拍卖成交结算时可冲抵相应金额成交价款，如未成交在拍卖会后次个工作日内按原路线退还。</w:t>
      </w:r>
    </w:p>
    <w:p>
      <w:pPr>
        <w:spacing w:line="400" w:lineRule="exact"/>
        <w:ind w:firstLineChars="200" w:firstLine="420"/>
        <w:rPr>
          <w:rFonts w:hint="eastAsia"/>
        </w:rPr>
      </w:pPr>
      <w:r>
        <w:rPr>
          <w:rFonts w:hint="eastAsia"/>
        </w:rPr>
        <w:t>三、在报名竞拍前竞买人应认真仔</w:t>
      </w:r>
      <w:bookmarkStart w:id="0" w:name="_GoBack"/>
      <w:bookmarkEnd w:id="0"/>
      <w:r>
        <w:rPr>
          <w:rFonts w:hint="eastAsia"/>
        </w:rPr>
        <w:t>细阅读本《竞买须知》，了解本须知的全部内容，参加本次拍卖活动的当事人和竞买人必须遵守本须知的各项条款，并对自己的行为承担法律责任。</w:t>
      </w:r>
    </w:p>
    <w:p>
      <w:pPr>
        <w:spacing w:line="400" w:lineRule="exact"/>
        <w:ind w:firstLineChars="200" w:firstLine="420"/>
        <w:rPr>
          <w:rFonts w:eastAsia="宋体"/>
          <w:lang w:val="en-US" w:eastAsia="zh-CN"/>
        </w:rPr>
      </w:pPr>
      <w:r>
        <w:rPr>
          <w:rFonts w:hint="eastAsia"/>
          <w:b/>
          <w:bCs/>
          <w:lang w:val="en-US" w:eastAsia="zh-CN"/>
        </w:rPr>
        <w:t>四、</w:t>
      </w:r>
      <w:r>
        <w:rPr>
          <w:rFonts w:hint="eastAsia"/>
          <w:b/>
          <w:bCs/>
        </w:rPr>
        <w:t>本次拍卖标的为：</w:t>
      </w:r>
      <w:r>
        <w:rPr>
          <w:rFonts w:hint="eastAsia"/>
          <w:color w:val="FF0000"/>
        </w:rPr>
        <w:t>中华人民共和国贵阳海关依法委托贵州省拍卖有限公司通过公开拍卖处置的</w:t>
      </w:r>
      <w:r>
        <w:rPr>
          <w:rFonts w:ascii="宋体" w:cs="宋体"/>
          <w:b/>
          <w:bCs/>
          <w:color w:val="FF0000"/>
          <w:kern w:val="2"/>
          <w:sz w:val="21"/>
          <w:bdr w:val="none" w:sz="0" w:space="0" w:color="auto"/>
        </w:rPr>
        <w:t>放弃</w:t>
      </w:r>
      <w:r>
        <w:rPr>
          <w:rFonts w:ascii="宋体" w:cs="宋体"/>
          <w:b/>
          <w:bCs/>
          <w:color w:val="FF0000"/>
          <w:kern w:val="2"/>
          <w:sz w:val="21"/>
        </w:rPr>
        <w:t>进口货物</w:t>
      </w:r>
      <w:r>
        <w:rPr>
          <w:rFonts w:hint="eastAsia"/>
          <w:color w:val="FF0000"/>
        </w:rPr>
        <w:t>。</w:t>
      </w:r>
      <w:r>
        <w:rPr>
          <w:rFonts w:hint="eastAsia"/>
        </w:rPr>
        <w:t>本次拍卖采用网络竞价（增价拍卖）方式，遵循价高者得</w:t>
      </w:r>
      <w:r>
        <w:rPr>
          <w:rFonts w:hint="eastAsia"/>
          <w:color w:val="FF0000"/>
        </w:rPr>
        <w:t>（标的设有保留价，未达保留价的不能成交）</w:t>
      </w:r>
      <w:r>
        <w:rPr>
          <w:rFonts w:hint="eastAsia"/>
        </w:rPr>
        <w:t>，敬请竞买人注意标的的拍卖时间。</w:t>
      </w:r>
    </w:p>
    <w:p>
      <w:pPr>
        <w:pStyle w:val="17"/>
        <w:spacing w:line="400" w:lineRule="exact"/>
        <w:ind w:left="840" w:firstLineChars="0" w:hanging="420"/>
        <w:rPr>
          <w:b/>
          <w:bCs/>
        </w:rPr>
      </w:pPr>
      <w:r>
        <w:rPr>
          <w:rFonts w:cs="Arial" w:hint="eastAsia"/>
          <w:b/>
          <w:bCs/>
          <w:kern w:val="2"/>
          <w:sz w:val="21"/>
          <w:szCs w:val="24"/>
          <w:lang w:val="en-US" w:eastAsia="zh-CN" w:bidi="ar-SA"/>
        </w:rPr>
        <w:t>五</w:t>
      </w:r>
      <w:r>
        <w:rPr>
          <w:rFonts w:ascii="Calibri" w:eastAsia="宋体" w:cs="Arial" w:hAnsi="Calibri"/>
          <w:b/>
          <w:bCs/>
          <w:kern w:val="2"/>
          <w:sz w:val="21"/>
          <w:szCs w:val="24"/>
          <w:lang w:val="en-US" w:eastAsia="zh-CN" w:bidi="ar-SA"/>
        </w:rPr>
        <w:t>、</w:t>
      </w:r>
      <w:r>
        <w:rPr>
          <w:rFonts w:hint="eastAsia"/>
          <w:b/>
          <w:bCs/>
        </w:rPr>
        <w:t>拍卖相关事项说明</w:t>
      </w:r>
    </w:p>
    <w:p>
      <w:pPr>
        <w:spacing w:line="400" w:lineRule="exact"/>
        <w:ind w:firstLineChars="200" w:firstLine="420"/>
      </w:pPr>
      <w:r>
        <w:rPr>
          <w:rFonts w:hint="eastAsia"/>
        </w:rPr>
        <w:t>标的：</w:t>
      </w:r>
      <w:r>
        <w:rPr>
          <w:rFonts w:ascii="宋体" w:eastAsia="宋体" w:cs="宋体" w:hint="eastAsia"/>
          <w:lang w:val="en-US" w:eastAsia="zh-CN"/>
        </w:rPr>
        <w:t>卡利绿色庄园VAT9西拉红葡萄酒</w:t>
      </w:r>
      <w:r>
        <w:rPr>
          <w:rFonts w:ascii="宋体" w:eastAsia="宋体" w:cs="宋体" w:hint="eastAsia"/>
          <w:b/>
          <w:bCs/>
          <w:lang w:val="en-US" w:eastAsia="zh-CN"/>
        </w:rPr>
        <w:t>10056</w:t>
      </w:r>
      <w:r>
        <w:rPr>
          <w:rFonts w:ascii="宋体" w:eastAsia="宋体" w:cs="宋体" w:hint="eastAsia"/>
          <w:lang w:val="en-US" w:eastAsia="zh-CN"/>
        </w:rPr>
        <w:t>瓶（产地：澳大利亚）</w:t>
      </w:r>
      <w:r>
        <w:rPr>
          <w:rFonts w:ascii="宋体" w:eastAsia="宋体" w:cs="宋体" w:hint="eastAsia"/>
        </w:rPr>
        <w:t>。</w:t>
      </w:r>
    </w:p>
    <w:p>
      <w:pPr>
        <w:spacing w:line="400" w:lineRule="exact"/>
        <w:ind w:firstLineChars="200" w:firstLine="420"/>
        <w:rPr>
          <w:b/>
          <w:color w:val="FF0000"/>
        </w:rPr>
      </w:pPr>
      <w:r>
        <w:rPr>
          <w:rFonts w:hint="eastAsia"/>
          <w:b/>
          <w:color w:val="FF0000"/>
        </w:rPr>
        <w:t>特别提醒：</w:t>
      </w:r>
    </w:p>
    <w:p>
      <w:pPr>
        <w:spacing w:line="400" w:lineRule="exact"/>
        <w:ind w:firstLineChars="200" w:firstLine="420"/>
      </w:pPr>
      <w:r>
        <w:rPr>
          <w:rFonts w:hint="eastAsia"/>
        </w:rPr>
        <w:t>1、本次拍卖标的物按现状进行拍卖，委托方和本公司不对标的的</w:t>
      </w:r>
      <w:r>
        <w:rPr>
          <w:rFonts w:hint="eastAsia"/>
          <w:lang w:val="en-US" w:eastAsia="zh-CN"/>
        </w:rPr>
        <w:t>真伪、</w:t>
      </w:r>
      <w:r>
        <w:rPr>
          <w:rFonts w:hint="eastAsia"/>
        </w:rPr>
        <w:t>品质、质量、数量</w:t>
      </w:r>
      <w:r>
        <w:rPr>
          <w:rFonts w:hint="eastAsia"/>
          <w:lang w:eastAsia="zh-CN"/>
        </w:rPr>
        <w:t>、</w:t>
      </w:r>
      <w:r>
        <w:rPr>
          <w:rFonts w:hint="eastAsia"/>
          <w:lang w:val="en-US" w:eastAsia="zh-CN"/>
        </w:rPr>
        <w:t>瑕疵</w:t>
      </w:r>
      <w:r>
        <w:rPr>
          <w:rFonts w:hint="eastAsia"/>
        </w:rPr>
        <w:t>等其他性质承担担保责任，本次拍卖的所有标的均以实物现状以及海关罚没入库数量进行拍卖。竞买前，竞买人应到展示地点进行实地查看，充分了解掌握标的物的数量及品质状况，竞买人报名参加竞买即视为完全了解并认可标的物存在的瑕疵，表明竞买人已认可并接受拍卖标的的现状、数量及品质，对标的物产生的客观折耗无异议，并自愿承担相应风险。</w:t>
      </w:r>
    </w:p>
    <w:p>
      <w:pPr>
        <w:spacing w:line="400" w:lineRule="exact"/>
        <w:ind w:firstLineChars="200" w:firstLine="420"/>
        <w:rPr>
          <w:rFonts w:hint="eastAsia"/>
        </w:rPr>
      </w:pPr>
      <w:r>
        <w:rPr>
          <w:rFonts w:hint="eastAsia"/>
        </w:rPr>
        <w:t>2、标的交付：拍卖成交后，由拍卖公司会同委托方负责标的物交付（以实物现状交付）。</w:t>
      </w:r>
    </w:p>
    <w:p>
      <w:pPr>
        <w:spacing w:line="400" w:lineRule="exact"/>
        <w:ind w:firstLineChars="200" w:firstLine="420"/>
        <w:rPr>
          <w:rFonts w:eastAsia="宋体" w:hint="eastAsia"/>
          <w:lang w:eastAsia="zh-CN"/>
        </w:rPr>
      </w:pPr>
      <w:r>
        <w:rPr>
          <w:rFonts w:hint="eastAsia"/>
        </w:rPr>
        <w:t>3、拍卖成交后，买受人的拍卖保证金冲抵成交价款、佣金及软件服务费，余款应当在拍卖成交之日起</w:t>
      </w:r>
      <w:r>
        <w:rPr>
          <w:rFonts w:hint="eastAsia"/>
          <w:b/>
          <w:bCs/>
          <w:lang w:val="en-US" w:eastAsia="zh-CN"/>
        </w:rPr>
        <w:t>5</w:t>
      </w:r>
      <w:r>
        <w:rPr>
          <w:rFonts w:hint="eastAsia"/>
          <w:b/>
          <w:bCs/>
        </w:rPr>
        <w:t>个</w:t>
      </w:r>
      <w:r>
        <w:rPr>
          <w:rFonts w:hint="eastAsia"/>
          <w:b/>
          <w:bCs/>
          <w:lang w:eastAsia="zh-CN"/>
        </w:rPr>
        <w:t>日历</w:t>
      </w:r>
      <w:r>
        <w:rPr>
          <w:rFonts w:hint="eastAsia"/>
          <w:b/>
          <w:bCs/>
        </w:rPr>
        <w:t>日内</w:t>
      </w:r>
      <w:r>
        <w:rPr>
          <w:rFonts w:hint="eastAsia"/>
        </w:rPr>
        <w:t>在线支付至指定账户。</w:t>
      </w:r>
    </w:p>
    <w:p>
      <w:pPr>
        <w:spacing w:line="400" w:lineRule="exact"/>
        <w:ind w:firstLineChars="200" w:firstLine="420"/>
      </w:pPr>
      <w:r>
        <w:rPr>
          <w:rFonts w:hint="eastAsia"/>
        </w:rPr>
        <w:t>4、买受人付清全额成交价款、佣金及软件服务费，委托人向买受人提供相关资料办理提货手续</w:t>
      </w:r>
      <w:r>
        <w:rPr>
          <w:rFonts w:hint="eastAsia"/>
          <w:lang w:eastAsia="zh-CN"/>
        </w:rPr>
        <w:t>，</w:t>
      </w:r>
      <w:r>
        <w:rPr>
          <w:rFonts w:hint="eastAsia"/>
          <w:lang w:val="en-US" w:eastAsia="zh-CN"/>
        </w:rPr>
        <w:t>由委托人向买受人移交拍卖标的物。</w:t>
      </w:r>
      <w:r>
        <w:rPr>
          <w:rFonts w:hint="eastAsia"/>
        </w:rPr>
        <w:t>买受人须在拍卖成交之日起</w:t>
      </w:r>
      <w:r>
        <w:rPr>
          <w:rFonts w:hint="eastAsia"/>
          <w:b/>
          <w:bCs/>
          <w:lang w:val="en-US" w:eastAsia="zh-CN"/>
        </w:rPr>
        <w:t>5个日历</w:t>
      </w:r>
      <w:r>
        <w:rPr>
          <w:rFonts w:hint="eastAsia"/>
          <w:b/>
          <w:bCs/>
        </w:rPr>
        <w:t>日内</w:t>
      </w:r>
      <w:r>
        <w:rPr>
          <w:rFonts w:hint="eastAsia"/>
        </w:rPr>
        <w:t>付清全部成交价款并完成提货手续，逾期未支付成交款及未提货的，</w:t>
      </w:r>
      <w:r>
        <w:rPr>
          <w:rFonts w:hint="eastAsia"/>
          <w:lang w:val="en-US" w:eastAsia="zh-CN"/>
        </w:rPr>
        <w:t>所产生的仓储费用、货物灭失、损害风险及其他法律责任由买受人承担。</w:t>
      </w:r>
    </w:p>
    <w:p>
      <w:pPr>
        <w:spacing w:line="400" w:lineRule="exact"/>
        <w:ind w:firstLineChars="200" w:firstLine="420"/>
      </w:pPr>
      <w:r>
        <w:rPr>
          <w:rFonts w:hint="eastAsia"/>
        </w:rPr>
        <w:t>5、拍卖标的为</w:t>
      </w:r>
      <w:r>
        <w:rPr>
          <w:rFonts w:ascii="宋体" w:cs="宋体"/>
          <w:b/>
          <w:bCs/>
          <w:color w:val="FF0000"/>
          <w:kern w:val="2"/>
          <w:sz w:val="21"/>
        </w:rPr>
        <w:t>海关提取依法变卖处理的</w:t>
      </w:r>
      <w:r>
        <w:rPr>
          <w:rFonts w:ascii="宋体" w:cs="宋体"/>
          <w:b/>
          <w:bCs/>
          <w:color w:val="FF0000"/>
          <w:kern w:val="2"/>
          <w:sz w:val="21"/>
          <w:bdr w:val="none" w:sz="0" w:space="0" w:color="auto"/>
        </w:rPr>
        <w:t>放弃</w:t>
      </w:r>
      <w:r>
        <w:rPr>
          <w:rFonts w:ascii="宋体" w:cs="宋体"/>
          <w:b/>
          <w:bCs/>
          <w:color w:val="FF0000"/>
          <w:kern w:val="2"/>
          <w:sz w:val="21"/>
        </w:rPr>
        <w:t>进口货物</w:t>
      </w:r>
      <w:r>
        <w:rPr>
          <w:rFonts w:hint="eastAsia"/>
        </w:rPr>
        <w:t>，委托方及拍卖公司均无法提供售后及退换货服务，标的以存放地现场展示期间所展示的现状为准；标的图片可能存在因拍摄光线、角度、电脑显示器的差异，存在一定的色差，请竞买人自行核实标的，详细阅读竞买须知等材料所披露的内容，认真查看标的物，充分了解标的物现状和瑕疵及相关法律法规、政策规定。竞买人放弃核实的权利产生的后果由其自行承担，竞买人对自己竞买拍卖标的的行为承担法律责任，竞买人一经报名办理竞买登记手续并应价，视为已确认标的物的现状并认可该标的的已知及未知的瑕疵，并以其独立判断决定自愿以现状竞买本标的。</w:t>
      </w:r>
    </w:p>
    <w:p>
      <w:pPr>
        <w:spacing w:line="400" w:lineRule="exact"/>
        <w:ind w:firstLineChars="200" w:firstLine="420"/>
        <w:rPr>
          <w:b/>
          <w:bCs/>
        </w:rPr>
      </w:pPr>
      <w:r>
        <w:rPr>
          <w:rFonts w:hint="eastAsia"/>
          <w:b/>
          <w:bCs/>
        </w:rPr>
        <w:t>五、拍卖方式</w:t>
      </w:r>
    </w:p>
    <w:p>
      <w:pPr>
        <w:spacing w:line="400" w:lineRule="exact"/>
        <w:ind w:firstLineChars="200" w:firstLine="420"/>
      </w:pPr>
      <w:r>
        <w:rPr>
          <w:rFonts w:hint="eastAsia"/>
        </w:rPr>
        <w:t>通过阿里巴巴旗下资产处置平台（网址：http://zc-paimai.taobao.com）进行本次拍卖，并按照阿里拍卖的网络拍卖流程、竞买须知等，采用网络竞价方式进行。</w:t>
      </w:r>
    </w:p>
    <w:p>
      <w:pPr>
        <w:spacing w:line="400" w:lineRule="exact"/>
        <w:ind w:firstLineChars="200" w:firstLine="420"/>
        <w:rPr>
          <w:b w:val="0"/>
          <w:bCs w:val="0"/>
        </w:rPr>
      </w:pPr>
      <w:r>
        <w:rPr>
          <w:rFonts w:hint="eastAsia"/>
          <w:b/>
          <w:bCs/>
        </w:rPr>
        <w:t>六、拍卖流程</w:t>
      </w:r>
    </w:p>
    <w:p>
      <w:pPr>
        <w:spacing w:line="400" w:lineRule="exact"/>
      </w:pPr>
      <w:r>
        <w:rPr>
          <w:rFonts w:hint="eastAsia"/>
        </w:rPr>
        <w:t xml:space="preserve">    登录阿里拍卖平台，阅读拍卖公告和竞买须知→联系拍卖公司咨询、展示看样→在竞拍界面完成报名及交保证金→参与竞拍→成交后缴纳尾款及佣金→线上签署成交确认书和委托提货函或联系拍卖公司线下签署《拍卖成交确认书》→预约办理提货事宜→提货。</w:t>
      </w:r>
    </w:p>
    <w:p>
      <w:pPr>
        <w:spacing w:line="400" w:lineRule="exact"/>
        <w:ind w:firstLineChars="200" w:firstLine="420"/>
      </w:pPr>
      <w:r>
        <w:rPr>
          <w:rFonts w:hint="eastAsia"/>
          <w:b/>
          <w:bCs/>
        </w:rPr>
        <w:t>七、标的物的展示和竞买手续的办理</w:t>
      </w:r>
    </w:p>
    <w:p>
      <w:pPr>
        <w:spacing w:line="400" w:lineRule="exact"/>
      </w:pPr>
      <w:r>
        <w:rPr>
          <w:rFonts w:hint="eastAsia"/>
        </w:rPr>
        <w:t xml:space="preserve">    1、现场展示时间地点：</w:t>
      </w:r>
      <w:r>
        <w:rPr>
          <w:rFonts w:hint="eastAsia"/>
          <w:b/>
          <w:bCs/>
        </w:rPr>
        <w:t>20</w:t>
      </w:r>
      <w:r>
        <w:rPr>
          <w:rFonts w:hint="eastAsia"/>
          <w:b/>
          <w:bCs/>
          <w:lang w:val="en-US" w:eastAsia="zh-CN"/>
        </w:rPr>
        <w:t>24</w:t>
      </w:r>
      <w:r>
        <w:rPr>
          <w:rFonts w:hint="eastAsia"/>
          <w:b/>
          <w:bCs/>
        </w:rPr>
        <w:t>年1</w:t>
      </w:r>
      <w:r>
        <w:rPr>
          <w:rFonts w:hint="eastAsia"/>
          <w:b/>
          <w:bCs/>
          <w:lang w:val="en-US" w:eastAsia="zh-CN"/>
        </w:rPr>
        <w:t>1</w:t>
      </w:r>
      <w:r>
        <w:rPr>
          <w:rFonts w:hint="eastAsia"/>
          <w:b/>
          <w:bCs/>
        </w:rPr>
        <w:t>月</w:t>
      </w:r>
      <w:r>
        <w:rPr>
          <w:b/>
          <w:bCs/>
          <w:lang w:val="en-US" w:eastAsia="zh-CN"/>
        </w:rPr>
        <w:t>12</w:t>
      </w:r>
      <w:r>
        <w:rPr>
          <w:rFonts w:hint="eastAsia"/>
          <w:b/>
          <w:bCs/>
        </w:rPr>
        <w:t>日至</w:t>
      </w:r>
      <w:r>
        <w:rPr>
          <w:b/>
          <w:bCs/>
          <w:lang w:val="en-US" w:eastAsia="zh-CN"/>
        </w:rPr>
        <w:t>13</w:t>
      </w:r>
      <w:r>
        <w:rPr>
          <w:rFonts w:hint="eastAsia"/>
          <w:b/>
          <w:bCs/>
        </w:rPr>
        <w:t>日止（</w:t>
      </w:r>
      <w:r>
        <w:rPr>
          <w:b/>
          <w:bCs/>
        </w:rPr>
        <w:t>上午</w:t>
      </w:r>
      <w:r>
        <w:rPr>
          <w:rFonts w:hint="eastAsia"/>
          <w:b/>
          <w:bCs/>
        </w:rPr>
        <w:t>8：30-11：30、下午15：00-17：</w:t>
      </w:r>
      <w:r>
        <w:rPr>
          <w:b/>
          <w:bCs/>
        </w:rPr>
        <w:t>00</w:t>
      </w:r>
      <w:r>
        <w:rPr>
          <w:rFonts w:hint="eastAsia"/>
          <w:b/>
          <w:bCs/>
        </w:rPr>
        <w:t>）</w:t>
      </w:r>
      <w:r>
        <w:rPr>
          <w:rFonts w:hint="eastAsia"/>
        </w:rPr>
        <w:t>在标的存放现场公开展示（不现场查看货物不影响成交结果）。请有意向竞买人提前24小时与拍卖公司取得联系，预约查看标的时间。展示地点为贵阳海关涉案财物仓库（</w:t>
      </w:r>
      <w:r>
        <w:rPr>
          <w:rFonts w:hint="eastAsia"/>
          <w:color w:val="FF0000"/>
          <w:lang w:eastAsia="zh-CN"/>
        </w:rPr>
        <w:t>贵阳高新恒中报税仓储有限公司公用型保税仓库</w:t>
      </w:r>
      <w:r>
        <w:rPr>
          <w:rFonts w:hint="eastAsia"/>
        </w:rPr>
        <w:t>）。</w:t>
      </w:r>
    </w:p>
    <w:p>
      <w:pPr>
        <w:spacing w:line="400" w:lineRule="exact"/>
        <w:ind w:firstLineChars="200" w:firstLine="420"/>
      </w:pPr>
      <w:r>
        <w:rPr>
          <w:rFonts w:hint="eastAsia"/>
        </w:rPr>
        <w:t>2、竞买保证金办理手续：竞买人于拍卖会前在淘宝网和支付宝上进行实名登记注册，注册成功后请按页面的提示进行操作。凡参加竞拍的竞买人须在本人的支付宝账户里有足够的竞拍保证金。竞买人在对拍卖标的物第一次确认出价竞拍前，按淘宝系统提示报名缴纳保证金。拍卖成交后，竞拍成功者的竞拍保证金将作为定金自动转入指定账户支付宝内，其他竞买人的保证金在拍卖后即时解冻原路退回。保证金冻结期间不计利息。如遇保证金交付问题请咨询淘宝网，淘宝客服热线：400-822-2870，09:00-21:00人工在线。委托代理人参加竞买的，须办理相关委托手续，并在拍卖前经拍卖企业确认。</w:t>
      </w:r>
    </w:p>
    <w:p>
      <w:pPr>
        <w:spacing w:line="400" w:lineRule="exact"/>
        <w:ind w:firstLineChars="200" w:firstLine="420"/>
        <w:rPr>
          <w:b w:val="0"/>
          <w:bCs w:val="0"/>
        </w:rPr>
      </w:pPr>
      <w:r>
        <w:rPr>
          <w:rFonts w:hint="eastAsia"/>
          <w:b/>
          <w:bCs/>
        </w:rPr>
        <w:t>八、出价竞拍</w:t>
      </w:r>
    </w:p>
    <w:p>
      <w:pPr>
        <w:spacing w:line="400" w:lineRule="exact"/>
        <w:ind w:firstLineChars="200" w:firstLine="420"/>
      </w:pPr>
      <w:r>
        <w:rPr>
          <w:rFonts w:hint="eastAsia"/>
        </w:rPr>
        <w:t>1、拍卖活动设有延时出价功能，在拍卖竞价结束之前，最后2分钟内如果有竞买人出价，就自动延迟至5分钟。</w:t>
      </w:r>
    </w:p>
    <w:p>
      <w:pPr>
        <w:spacing w:line="400" w:lineRule="exact"/>
        <w:ind w:firstLineChars="200" w:firstLine="420"/>
      </w:pPr>
      <w:r>
        <w:rPr>
          <w:rFonts w:hint="eastAsia"/>
        </w:rPr>
        <w:t>2、在竞价过程中，请竞买人按规定的加价幅度出价，若自行出价，请仔细核对好出价金额，若出现出价金额错误的情况，由买受人自行承担后果。</w:t>
      </w:r>
    </w:p>
    <w:p>
      <w:pPr>
        <w:spacing w:line="400" w:lineRule="exact"/>
        <w:ind w:firstLineChars="200" w:firstLine="420"/>
      </w:pPr>
      <w:r>
        <w:rPr>
          <w:rFonts w:hint="eastAsia"/>
        </w:rPr>
        <w:t>3、拍卖过程中，请竞买人注意拍卖的时间限制，在系统规定时间内出价，系统规定时间结束后即视为该项标的拍卖结束。</w:t>
      </w:r>
    </w:p>
    <w:p>
      <w:pPr>
        <w:spacing w:line="400" w:lineRule="exact"/>
        <w:ind w:firstLineChars="200" w:firstLine="420"/>
      </w:pPr>
      <w:r>
        <w:rPr>
          <w:rFonts w:hint="eastAsia"/>
        </w:rPr>
        <w:t>4、请竞买人妥善保管好本人的（淘宝和支付宝）用户名及密码，并对自身账号的应价行为负责。</w:t>
      </w:r>
    </w:p>
    <w:p>
      <w:pPr>
        <w:spacing w:line="400" w:lineRule="exact"/>
        <w:ind w:firstLineChars="200" w:firstLine="420"/>
      </w:pPr>
      <w:r>
        <w:rPr>
          <w:rFonts w:hint="eastAsia"/>
        </w:rPr>
        <w:t>九、拍卖成交后拍卖公司向买受人收取成交总价的5%的拍卖佣金，余款及拍卖佣金可直接缴入以下账户：</w:t>
      </w:r>
    </w:p>
    <w:p>
      <w:pPr>
        <w:spacing w:line="400" w:lineRule="exact"/>
        <w:ind w:firstLineChars="200" w:firstLine="420"/>
      </w:pPr>
      <w:r>
        <w:rPr>
          <w:rFonts w:hint="eastAsia"/>
        </w:rPr>
        <w:t>户名：贵州省拍卖有限公司</w:t>
      </w:r>
    </w:p>
    <w:p>
      <w:pPr>
        <w:spacing w:line="400" w:lineRule="exact"/>
        <w:ind w:firstLineChars="200" w:firstLine="420"/>
      </w:pPr>
      <w:r>
        <w:rPr>
          <w:rFonts w:hint="eastAsia"/>
        </w:rPr>
        <w:t>开户行：贵阳市工行中南支行</w:t>
      </w:r>
    </w:p>
    <w:p>
      <w:pPr>
        <w:spacing w:line="400" w:lineRule="exact"/>
        <w:ind w:firstLineChars="200" w:firstLine="420"/>
      </w:pPr>
      <w:r>
        <w:rPr>
          <w:rFonts w:hint="eastAsia"/>
        </w:rPr>
        <w:t>账号：2402013309024908164</w:t>
      </w:r>
    </w:p>
    <w:p>
      <w:pPr>
        <w:spacing w:line="400" w:lineRule="exact"/>
        <w:ind w:firstLineChars="200" w:firstLine="420"/>
      </w:pPr>
      <w:r>
        <w:rPr>
          <w:rFonts w:hint="eastAsia"/>
        </w:rPr>
        <w:t>在转账过程中，将自己名字填写在备注栏，以便核对缴款信息。</w:t>
      </w:r>
    </w:p>
    <w:p>
      <w:pPr>
        <w:spacing w:line="400" w:lineRule="exact"/>
        <w:ind w:firstLineChars="200" w:firstLine="420"/>
        <w:rPr>
          <w:color w:val="FF0000"/>
        </w:rPr>
      </w:pPr>
      <w:r>
        <w:rPr>
          <w:rFonts w:hint="eastAsia"/>
        </w:rPr>
        <w:t>十、拍卖成交后，拍卖公司仅向买受人开具拍卖佣金发票。海关及拍卖公司不向买受人提供成交款发票。</w:t>
      </w:r>
      <w:r>
        <w:rPr>
          <w:rFonts w:hint="eastAsia"/>
          <w:color w:val="FF0000"/>
        </w:rPr>
        <w:t>所有标的均没有鉴定凭证、购货凭证等单据，买受人可下载签署的《拍卖成交确认书》。</w:t>
      </w:r>
    </w:p>
    <w:p>
      <w:pPr>
        <w:spacing w:line="400" w:lineRule="exact"/>
        <w:ind w:firstLineChars="200" w:firstLine="420"/>
        <w:rPr>
          <w:rFonts w:hint="eastAsia"/>
        </w:rPr>
      </w:pPr>
      <w:r>
        <w:rPr>
          <w:rFonts w:hint="eastAsia"/>
        </w:rPr>
        <w:t>十一、买受人逾期未支付拍卖全款和拍卖佣金，拒绝签署《拍卖成交确认书》等相关成交文件的，将视为违约，拍卖标的将收回，竞买保证金不予退还。重新拍卖时，原买受人不得参加竞买。再行拍卖的有关事宜按《中华人民共和国拍卖法》规定执行。</w:t>
      </w:r>
    </w:p>
    <w:p>
      <w:pPr>
        <w:spacing w:line="400" w:lineRule="exact"/>
        <w:ind w:firstLineChars="200" w:firstLine="420"/>
      </w:pPr>
      <w:r>
        <w:rPr>
          <w:rFonts w:hint="eastAsia"/>
        </w:rPr>
        <w:t>买受人逾期5日内未按上述规定办理成交确认手续和付款的，委托人和拍卖人不再另行通知或者公告，视为自动放弃，应当承担相应法律责任，其履约保证金不予退还，拍卖机构及委托方有权按照《中华人民共和国拍卖法》第三十九条的规定将该标的收回再行拍卖。</w:t>
      </w:r>
    </w:p>
    <w:p>
      <w:pPr>
        <w:spacing w:line="400" w:lineRule="exact"/>
        <w:ind w:firstLineChars="200" w:firstLine="420"/>
      </w:pPr>
      <w:r>
        <w:rPr>
          <w:rFonts w:hint="eastAsia"/>
          <w:b/>
          <w:bCs/>
        </w:rPr>
        <w:t>十二、移交方式如下：</w:t>
      </w:r>
    </w:p>
    <w:p>
      <w:pPr>
        <w:spacing w:line="400" w:lineRule="exact"/>
        <w:ind w:firstLineChars="200" w:firstLine="420"/>
        <w:rPr>
          <w:color w:val="FF0000"/>
        </w:rPr>
      </w:pPr>
      <w:r>
        <w:rPr>
          <w:rFonts w:hint="eastAsia"/>
        </w:rPr>
        <w:t>1、拍卖成交后，委托人确认拍卖标的价款已到指定的账户后，由拍卖公司通知买受人持</w:t>
      </w:r>
      <w:r>
        <w:rPr>
          <w:rFonts w:hint="eastAsia"/>
          <w:color w:val="FF0000"/>
        </w:rPr>
        <w:t>本人身份证原件及复印件、缴款单、《拍卖成交确认书》到贵阳海关办理出库手续后，方可移交拍卖标的。</w:t>
      </w:r>
    </w:p>
    <w:p>
      <w:pPr>
        <w:spacing w:line="400" w:lineRule="exact"/>
      </w:pPr>
      <w:r>
        <w:rPr>
          <w:rFonts w:hint="eastAsia"/>
        </w:rPr>
        <w:t xml:space="preserve">    2、买受人须在拍卖结束后</w:t>
      </w:r>
      <w:r>
        <w:rPr>
          <w:rFonts w:hint="eastAsia"/>
          <w:lang w:val="en-US" w:eastAsia="zh-CN"/>
        </w:rPr>
        <w:t>5</w:t>
      </w:r>
      <w:r>
        <w:rPr>
          <w:rFonts w:hint="eastAsia"/>
        </w:rPr>
        <w:t>个工作日内完成提货手续，逾期提货所产生的仓储费用及其他法律责任由买受人承担。</w:t>
      </w:r>
    </w:p>
    <w:p>
      <w:pPr>
        <w:spacing w:line="400" w:lineRule="exact"/>
        <w:ind w:firstLine="420"/>
      </w:pPr>
      <w:r>
        <w:rPr>
          <w:rFonts w:hint="eastAsia"/>
        </w:rPr>
        <w:t>3、标的物移交时所涉及的相关费用（税费、期间费用、搬运费、装卸费等）及相关安全责任均由买受人自行承担。提货方式</w:t>
      </w:r>
      <w:r>
        <w:rPr>
          <w:rFonts w:hint="eastAsia"/>
          <w:color w:val="FF0000"/>
        </w:rPr>
        <w:t>为买受人自提的，提货地点为标的物所在地，请提前致电拍卖机构确定提货时间</w:t>
      </w:r>
      <w:r>
        <w:rPr>
          <w:rFonts w:hint="eastAsia"/>
        </w:rPr>
        <w:t>。</w:t>
      </w:r>
    </w:p>
    <w:p>
      <w:pPr>
        <w:spacing w:line="400" w:lineRule="exact"/>
        <w:ind w:firstLine="405"/>
        <w:rPr>
          <w:color w:val="FF0000"/>
        </w:rPr>
      </w:pPr>
      <w:r>
        <w:rPr>
          <w:rFonts w:hint="eastAsia"/>
        </w:rPr>
        <w:t>4、标的按现状移交，数量发生变化不影响或改变已成交的价格，</w:t>
      </w:r>
      <w:r>
        <w:rPr>
          <w:rFonts w:hint="eastAsia"/>
          <w:color w:val="FF0000"/>
        </w:rPr>
        <w:t>同时买受人无权以看错品牌、规格等理由拒绝领取标的。</w:t>
      </w:r>
      <w:r>
        <w:rPr>
          <w:rFonts w:hint="eastAsia"/>
        </w:rPr>
        <w:t>逾期未提取标的物的视为违约，拍卖标的由委托方收回，拍卖成交价款和拍卖佣金不予退还。</w:t>
      </w:r>
    </w:p>
    <w:p>
      <w:pPr>
        <w:spacing w:line="400" w:lineRule="exact"/>
        <w:ind w:firstLineChars="200" w:firstLine="420"/>
        <w:rPr>
          <w:color w:val="FF0000"/>
        </w:rPr>
      </w:pPr>
      <w:r>
        <w:rPr>
          <w:rFonts w:hint="eastAsia"/>
        </w:rPr>
        <w:t>十三、本次拍卖活动计价货币为人民币，</w:t>
      </w:r>
      <w:r>
        <w:rPr>
          <w:rFonts w:hint="eastAsia"/>
          <w:color w:val="FF0000"/>
        </w:rPr>
        <w:t>拍卖时的起拍价、成交价均不含拍卖佣金、软件服务费等费用，</w:t>
      </w:r>
      <w:r>
        <w:rPr>
          <w:rFonts w:hint="eastAsia"/>
        </w:rPr>
        <w:t>在拍卖标的物交付、提取、转让等过程中所发生的全部税、费等相关费用均由买受人自行承担。</w:t>
      </w:r>
    </w:p>
    <w:p>
      <w:pPr>
        <w:spacing w:line="400" w:lineRule="exact"/>
        <w:ind w:firstLineChars="200" w:firstLine="420"/>
      </w:pPr>
      <w:r>
        <w:rPr>
          <w:rFonts w:hint="eastAsia"/>
        </w:rPr>
        <w:t>十四、</w:t>
      </w:r>
      <w:r>
        <w:rPr>
          <w:rFonts w:hint="eastAsia"/>
          <w:color w:val="FF0000"/>
        </w:rPr>
        <w:t>委托人和拍卖人在拍卖会前均已履行标的展示及告知的义务，委托人和拍卖人向竞买人提供的标的说明资料仅供参考，不作成交依据，委托人和拍卖人对其不作任何承诺和担保。</w:t>
      </w:r>
      <w:r>
        <w:rPr>
          <w:rFonts w:hint="eastAsia"/>
        </w:rPr>
        <w:t>竞买人交纳竞买保证金参与竞买，即视为对本竞买须知的认可并遵循本规定，不再提出异议，竞买人须依此对自己在拍卖过程中的行为负责。</w:t>
      </w:r>
    </w:p>
    <w:p>
      <w:pPr>
        <w:spacing w:line="400" w:lineRule="exact"/>
        <w:ind w:firstLineChars="200" w:firstLine="420"/>
        <w:rPr>
          <w:color w:val="FF0000"/>
        </w:rPr>
      </w:pPr>
      <w:r>
        <w:rPr>
          <w:rFonts w:hint="eastAsia"/>
        </w:rPr>
        <w:t xml:space="preserve">十五、根据法律规定，标的委托人有权在拍卖开始前、拍卖过程中，中止拍卖或撤回拍卖。本规则其他未尽事宜，请向拍卖公司咨询，本公司保留最终解释权。  </w:t>
      </w:r>
    </w:p>
    <w:p>
      <w:pPr>
        <w:spacing w:line="400" w:lineRule="exact"/>
        <w:ind w:firstLineChars="200" w:firstLine="420"/>
      </w:pPr>
      <w:r>
        <w:rPr>
          <w:rFonts w:hint="eastAsia"/>
        </w:rPr>
        <w:t>拍卖公司：贵州省拍卖有限公司</w:t>
      </w:r>
    </w:p>
    <w:p>
      <w:pPr>
        <w:spacing w:line="400" w:lineRule="exact"/>
        <w:ind w:firstLineChars="200" w:firstLine="420"/>
      </w:pPr>
      <w:r>
        <w:rPr>
          <w:rFonts w:hint="eastAsia"/>
        </w:rPr>
        <w:t xml:space="preserve">联系电话：0851—85211532   85211519  13985113435 </w:t>
      </w:r>
    </w:p>
    <w:p>
      <w:pPr>
        <w:spacing w:line="400" w:lineRule="exact"/>
        <w:ind w:firstLineChars="200" w:firstLine="420"/>
        <w:rPr>
          <w:rFonts w:eastAsia="宋体"/>
          <w:lang w:val="en-US" w:eastAsia="zh-CN"/>
        </w:rPr>
      </w:pPr>
      <w:r>
        <w:rPr>
          <w:rFonts w:hint="eastAsia"/>
        </w:rPr>
        <w:t>贵阳海关监督电话：0851—</w:t>
      </w:r>
      <w:r>
        <w:rPr>
          <w:rFonts w:hint="eastAsia"/>
          <w:lang w:val="en-US" w:eastAsia="zh-CN"/>
        </w:rPr>
        <w:t>82277095</w:t>
      </w:r>
    </w:p>
    <w:p>
      <w:pPr>
        <w:spacing w:line="400" w:lineRule="exact"/>
        <w:rPr>
          <w:rFonts w:hint="eastAsia"/>
        </w:rPr>
      </w:pPr>
    </w:p>
    <w:p>
      <w:pPr>
        <w:spacing w:line="400" w:lineRule="exact"/>
      </w:pPr>
    </w:p>
    <w:p>
      <w:pPr>
        <w:spacing w:line="400" w:lineRule="exact"/>
        <w:jc w:val="right"/>
      </w:pPr>
      <w:r>
        <w:rPr>
          <w:rFonts w:hint="eastAsia"/>
        </w:rPr>
        <w:t>贵州省拍卖有限公司</w:t>
      </w:r>
    </w:p>
    <w:p>
      <w:pPr>
        <w:spacing w:line="400" w:lineRule="exact"/>
        <w:ind w:firstLineChars="3100" w:firstLine="6510"/>
      </w:pPr>
      <w:r>
        <w:rPr>
          <w:rFonts w:hint="eastAsia"/>
        </w:rPr>
        <w:t>202</w:t>
      </w:r>
      <w:r>
        <w:rPr>
          <w:rFonts w:hint="eastAsia"/>
          <w:lang w:val="en-US" w:eastAsia="zh-CN"/>
        </w:rPr>
        <w:t>4</w:t>
      </w:r>
      <w:r>
        <w:rPr>
          <w:rFonts w:hint="eastAsia"/>
        </w:rPr>
        <w:t>年</w:t>
      </w:r>
      <w:r>
        <w:rPr>
          <w:rFonts w:hint="eastAsia"/>
          <w:lang w:val="en-US" w:eastAsia="zh-CN"/>
        </w:rPr>
        <w:t>11</w:t>
      </w:r>
      <w:r>
        <w:rPr>
          <w:rFonts w:hint="eastAsia"/>
        </w:rPr>
        <w:t>月</w:t>
      </w:r>
      <w:r>
        <w:rPr>
          <w:lang w:val="en-US" w:eastAsia="zh-CN"/>
        </w:rPr>
        <w:t>5</w:t>
      </w:r>
      <w:r>
        <w:rPr>
          <w:rFonts w:hint="eastAsia"/>
        </w:rPr>
        <w:t>日</w:t>
      </w: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宋体">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Calibri">
    <w:panose1 w:val="020F0502020204030204"/>
    <w:charset w:val="00"/>
    <w:family w:val="swiss"/>
    <w:pitch w:val="variable"/>
    <w:sig w:usb0="E4002EFF" w:usb1="C200247B" w:usb2="00000009" w:usb3="00000000" w:csb0="200001FF" w:csb1="00000000"/>
  </w:font>
  <w:font w:name="Times New Roman">
    <w:panose1 w:val="02020603050405020304"/>
    <w:charset w:val="00"/>
    <w:family w:val="roman"/>
    <w:pitch w:val="variable"/>
    <w:sig w:usb0="20007A87" w:usb1="80000000" w:usb2="00000008" w:usb3="00000000" w:csb0="000001F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20"/>
  <w:doNotDisplayPageBoundarie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useAltKinsokuLineBreakRules/>
    <w:splitPgBreakAndParaMark/>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autoRedefine/>
    <w:pPr>
      <w:widowControl w:val="0"/>
      <w:jc w:val="both"/>
    </w:pPr>
    <w:rPr>
      <w:rFonts w:ascii="Calibri" w:eastAsia="宋体" w:cs="Arial" w:hAnsi="Calibri"/>
      <w:b w:val="0"/>
      <w:bCs w:val="0"/>
      <w:kern w:val="2"/>
      <w:sz w:val="21"/>
      <w:szCs w:val="24"/>
      <w:lang w:val="en-US" w:eastAsia="zh-CN" w:bidi="ar-SA"/>
    </w:rPr>
  </w:style>
  <w:style w:type="paragraph" w:styleId="1">
    <w:name w:val="heading 1"/>
    <w:basedOn w:val="0"/>
    <w:autoRedefine/>
    <w:next w:val="0"/>
    <w:pPr>
      <w:keepNext/>
      <w:keepLines/>
      <w:widowControl w:val="0"/>
      <w:spacing w:line="576" w:lineRule="auto"/>
      <w:outlineLvl w:val="0"/>
    </w:pPr>
    <w:rPr>
      <w:b/>
      <w:kern w:val="44"/>
      <w:sz w:val="44"/>
    </w:rPr>
  </w:style>
  <w:style w:type="character" w:default="1" w:styleId="10">
    <w:name w:val="Default Paragraph Font"/>
    <w:autoRedefine/>
  </w:style>
  <w:style w:type="paragraph" w:styleId="15">
    <w:name w:val="footer"/>
    <w:basedOn w:val="0"/>
    <w:autoRedefine/>
    <w:pPr>
      <w:tabs>
        <w:tab w:val="center" w:pos="4153"/>
        <w:tab w:val="right" w:pos="8306"/>
      </w:tabs>
      <w:snapToGrid w:val="0"/>
      <w:jc w:val="left"/>
    </w:pPr>
    <w:rPr>
      <w:sz w:val="18"/>
      <w:szCs w:val="18"/>
    </w:rPr>
  </w:style>
  <w:style w:type="paragraph" w:styleId="16">
    <w:name w:val="header"/>
    <w:basedOn w:val="0"/>
    <w:autoRedefine/>
    <w:pPr>
      <w:pBdr>
        <w:bottom w:val="single" w:sz="6" w:space="1" w:color="auto"/>
      </w:pBdr>
      <w:tabs>
        <w:tab w:val="center" w:pos="4153"/>
        <w:tab w:val="right" w:pos="8306"/>
      </w:tabs>
      <w:snapToGrid w:val="0"/>
      <w:jc w:val="center"/>
    </w:pPr>
    <w:rPr>
      <w:sz w:val="18"/>
      <w:szCs w:val="18"/>
    </w:rPr>
  </w:style>
  <w:style w:type="paragraph" w:customStyle="1" w:styleId="17">
    <w:name w:val="List Paragraph"/>
    <w:basedOn w:val="0"/>
    <w:autoRedefine/>
    <w:pPr>
      <w:ind w:firstLineChars="200" w:firstLine="200"/>
    </w:pPr>
    <w:rPr>
      <w:b/>
      <w:bCs/>
    </w:rPr>
  </w:style>
  <w:style w:type="paragraph" w:styleId="18">
    <w:name w:val="Normal (Web)"/>
    <w:next w:val="17"/>
    <w:pPr>
      <w:widowControl w:val="0"/>
      <w:spacing w:beforeAutospacing="1" w:afterAutospacing="1"/>
      <w:jc w:val="left"/>
    </w:pPr>
    <w:rPr>
      <w:rFonts w:ascii="Calibri" w:eastAsia="宋体" w:cs="Times New Roman" w:hAnsi="Calibri"/>
      <w:kern w:val="0"/>
      <w:sz w:val="24"/>
      <w:szCs w:val="24"/>
      <w:lang w:val="en-US" w:eastAsia="zh-CN" w:bidi="ar-SA"/>
    </w:rPr>
  </w:style>
  <w:style w:type="paragraph" w:customStyle="1" w:styleId="19">
    <w:name w:val="样式 10 磅"/>
    <w:pPr>
      <w:widowControl w:val="0"/>
      <w:jc w:val="both"/>
    </w:pPr>
    <w:rPr>
      <w:rFonts w:ascii="Calibri" w:eastAsia="宋体" w:cs="Arial" w:hAnsi="Calibri"/>
      <w:kern w:val="2"/>
      <w:sz w:val="21"/>
      <w:szCs w:val="24"/>
      <w:lang w:val="en-US" w:eastAsia="zh-CN" w:bidi="ar-SA"/>
    </w:rPr>
  </w:style>
  <w:style w:type="paragraph" w:customStyle="1" w:styleId="20">
    <w:name w:val="样式 1 10 磅"/>
    <w:pPr>
      <w:widowControl w:val="0"/>
      <w:jc w:val="both"/>
    </w:pPr>
    <w:rPr>
      <w:rFonts w:ascii="Calibri" w:eastAsia="宋体" w:cs="Arial" w:hAnsi="Calibri"/>
      <w:kern w:val="2"/>
      <w:sz w:val="21"/>
      <w:szCs w:val="24"/>
      <w:lang w:val="en-US" w:eastAsia="zh-CN" w:bidi="ar-SA"/>
    </w:rPr>
  </w:style>
  <w:style w:type="paragraph" w:customStyle="1" w:styleId="21">
    <w:name w:val="样式 小四"/>
    <w:pPr>
      <w:widowControl w:val="0"/>
      <w:spacing w:beforeAutospacing="1" w:afterAutospacing="1"/>
      <w:jc w:val="left"/>
    </w:pPr>
    <w:rPr>
      <w:rFonts w:ascii="Calibri" w:eastAsia="宋体" w:cs="Times New Roman" w:hAnsi="Calibri"/>
      <w:kern w:val="0"/>
      <w:sz w:val="24"/>
      <w:szCs w:val="24"/>
      <w:lang w:val="en-US" w:eastAsia="zh-CN" w:bidi="ar-SA"/>
    </w:rPr>
  </w:style>
  <w:style w:type="paragraph" w:customStyle="1" w:styleId="22">
    <w:name w:val="样式 2 10 磅"/>
    <w:pPr>
      <w:widowControl w:val="0"/>
      <w:jc w:val="both"/>
    </w:pPr>
    <w:rPr>
      <w:rFonts w:ascii="Calibri" w:eastAsia="宋体" w:cs="Arial" w:hAnsi="Calibri"/>
      <w:kern w:val="2"/>
      <w:sz w:val="21"/>
      <w:szCs w:val="24"/>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29</TotalTime>
  <Application>Yozo_Office</Application>
  <Pages>4</Pages>
  <Words>3236</Words>
  <Characters>3413</Characters>
  <Lines>114</Lines>
  <Paragraphs>47</Paragraphs>
  <CharactersWithSpaces>3433</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陶思佳</cp:lastModifiedBy>
  <cp:revision>19</cp:revision>
  <dcterms:created xsi:type="dcterms:W3CDTF">2022-01-09T03:01:00Z</dcterms:created>
  <dcterms:modified xsi:type="dcterms:W3CDTF">2024-11-04T09:00:44Z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2052-12.1.0.18345</vt:lpwstr>
  </property>
  <property fmtid="{D5CDD505-2E9C-101B-9397-08002B2CF9AE}" pid="3" name="ICV">
    <vt:lpwstr>F033A984B59F4D9A9626288056DAD5F8_13</vt:lpwstr>
  </property>
</Properties>
</file>