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
      <w:pPr>
        <w:jc w:val="center"/>
      </w:pPr>
      <w:r>
        <w:rPr>
          <w:rFonts w:hint="eastAsia"/>
        </w:rPr>
        <w:t>中华人民共和国贵阳海关</w:t>
      </w:r>
    </w:p>
    <w:p>
      <w:pPr>
        <w:jc w:val="center"/>
      </w:pPr>
      <w:r>
        <w:rPr>
          <w:rFonts w:hint="eastAsia"/>
        </w:rPr>
        <w:t>行政处罚决定书</w:t>
      </w:r>
    </w:p>
    <w:p>
      <w:pPr>
        <w:ind w:firstLineChars="2700" w:firstLine="5670"/>
      </w:pPr>
      <w:r>
        <w:rPr>
          <w:rFonts w:hint="eastAsia"/>
        </w:rPr>
        <w:t>黔</w:t>
      </w:r>
      <w:r>
        <w:t>关</w:t>
      </w:r>
      <w:r>
        <w:rPr>
          <w:rFonts w:hint="eastAsia"/>
        </w:rPr>
        <w:t>缉违字〔202</w:t>
      </w:r>
      <w:r>
        <w:t>4</w:t>
      </w:r>
      <w:r>
        <w:rPr>
          <w:rFonts w:hint="eastAsia"/>
        </w:rPr>
        <w:t>〕</w:t>
      </w:r>
      <w:r>
        <w:t>1</w:t>
      </w:r>
      <w:r>
        <w:rPr>
          <w:rFonts w:hint="eastAsia"/>
        </w:rPr>
        <w:t>号</w:t>
      </w:r>
    </w:p>
    <w:p>
      <w:r>
        <w:t xml:space="preserve">当事人：贵州景诚耀鑫进出口有限公司，法定代表人：陈涛，统一社会信用编码：91520102MA6GJBTB0T </w:t>
      </w:r>
    </w:p>
    <w:p>
      <w:r>
        <w:t xml:space="preserve">地 址：贵州省贵阳市南明区花果园路花果园项目R-1区第4栋（4）1单元32层29号[花果园社区] </w:t>
      </w:r>
    </w:p>
    <w:p>
      <w:pPr>
        <w:ind w:firstLineChars="200" w:firstLine="420"/>
      </w:pPr>
      <w:r>
        <w:t xml:space="preserve">经我关调查，当事人有以下违法行为：从2021年10月至2022年10月期间，当事人公司以一般贸易方式向天津新港海关申报出口腐殖酸钾，产品编码应归为3105909000税则 号，而当事人公司错误的以3824999999税则号向海关进行申报出口，造成税则号申报不实，涉及违规。涉及报关出口的货物腐殖酸钾20单，货值人民币314.5428万元。 </w:t>
      </w:r>
    </w:p>
    <w:p>
      <w:pPr>
        <w:ind w:firstLineChars="200" w:firstLine="420"/>
      </w:pPr>
      <w:r>
        <w:t xml:space="preserve">以上行为有1. 出口货物报关单及随附资料；2. 营业执照及身份证复印件；3. 腐植酸钾报关总表；4. 海关稽查审核报告；5. 查问笔录、当事人情况说明；6. 国税部门对当事人制发的风险分析报告；7. 贵阳海关稽查处《关于贵州景诚耀鑫进出口有限公司涉检案件办理的指导意见》等证据为证。 </w:t>
      </w:r>
    </w:p>
    <w:p>
      <w:pPr>
        <w:ind w:firstLineChars="200" w:firstLine="420"/>
      </w:pPr>
      <w:r>
        <w:t xml:space="preserve">依照《中华人民共和国海关行政处罚实施条例》第十五条第一项之规定，决定对当事人公司作出如下行政处罚： 处罚款人民币0.3万元。 </w:t>
      </w:r>
    </w:p>
    <w:p>
      <w:pPr>
        <w:ind w:firstLineChars="200" w:firstLine="420"/>
      </w:pPr>
      <w:r>
        <w:t xml:space="preserve">当事人应当自收到本决定书之日起十五日内，依照《中华人民共和国行政处罚法》第六十六条、第六十七条之规定，缴纳罚款。 </w:t>
      </w:r>
    </w:p>
    <w:p>
      <w:pPr>
        <w:ind w:firstLineChars="200" w:firstLine="420"/>
      </w:pPr>
      <w:r>
        <w:t xml:space="preserve">当事人不服本处罚决定的，依照《中华人民共和国行政复议法》第二十条、第二十七条、《中华人民共和国行政诉讼法》第四十六条之规定，可自收到本决定书之日起六十日内向海关总署申请行政复议，或者自收到本决定书之日起六个月内，直接向贵阳市中级人民法院提起诉讼。 </w:t>
      </w:r>
    </w:p>
    <w:p>
      <w:pPr>
        <w:ind w:firstLineChars="200" w:firstLine="420"/>
        <w:rPr>
          <w:rFonts w:hint="eastAsia"/>
        </w:rPr>
      </w:pPr>
      <w:r>
        <w:t>依照《中华人民共和国行政处罚法》第七十二条、 《中华人民共和国海关法》第九十三条之规定，当事人到期不缴纳罚款的，每日可以按罚款数额的百分之三加处罚款，加处罚款的数额不超出罚款数额；当事人逾期不履行处罚决定又不申请复议或者向人民法院提起诉讼的，海关可以将扣留的货物、物品、运输工具依法变价抵缴，或者以当事人提供的保证金抵缴；也可以采取法律规定的其他行政强制执行方式或者申请人民法院强制执行。</w:t>
      </w:r>
    </w:p>
    <w:p>
      <w:pPr>
        <w:ind w:firstLineChars="200" w:firstLine="420"/>
        <w:rPr>
          <w:rFonts w:hint="eastAsia"/>
        </w:rPr>
      </w:pPr>
    </w:p>
    <w:p>
      <w:pPr>
        <w:ind w:firstLineChars="200" w:firstLine="420"/>
        <w:rPr>
          <w:rFonts w:hint="eastAsia"/>
        </w:rPr>
      </w:pPr>
    </w:p>
    <w:p>
      <w:pPr>
        <w:ind w:firstLineChars="200" w:firstLine="420"/>
        <w:rPr>
          <w:rFonts w:hint="eastAsia"/>
        </w:rPr>
      </w:pPr>
    </w:p>
    <w:p>
      <w:pPr>
        <w:ind w:firstLineChars="3100" w:firstLine="6510"/>
        <w:rPr>
          <w:rFonts w:hint="eastAsia"/>
        </w:rPr>
      </w:pPr>
      <w:r>
        <w:rPr>
          <w:rFonts w:hint="eastAsia"/>
        </w:rPr>
        <w:t>（关印）</w:t>
      </w:r>
    </w:p>
    <w:p>
      <w:pPr>
        <w:ind w:firstLineChars="2900" w:firstLine="6090"/>
      </w:pPr>
      <w:bookmarkStart w:id="0" w:name="_GoBack"/>
      <w:bookmarkEnd w:id="0"/>
      <w:r>
        <w:rPr>
          <w:rFonts w:hint="eastAsia"/>
        </w:rPr>
        <w:t>202</w:t>
      </w:r>
      <w:r>
        <w:t>4</w:t>
      </w:r>
      <w:r>
        <w:rPr>
          <w:rFonts w:hint="eastAsia"/>
        </w:rPr>
        <w:t>年</w:t>
      </w:r>
      <w:r>
        <w:t>07</w:t>
      </w:r>
      <w:r>
        <w:rPr>
          <w:rFonts w:hint="eastAsia"/>
        </w:rPr>
        <w:t>月</w:t>
      </w:r>
      <w:r>
        <w:t>03</w:t>
      </w:r>
      <w:r>
        <w:rPr>
          <w:rFonts w:hint="eastAsia"/>
        </w:rPr>
        <w:t>日</w:t>
      </w:r>
    </w:p>
    <w:sectPr>
      <w:pgSz w:w="11906" w:h="16838"/>
      <w:pgMar w:top="1440" w:right="1800" w:bottom="1440" w:left="180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auto"/>
    <w:pitch w:val="variable"/>
    <w:sig w:usb0="00000A87" w:usb1="00000000" w:usb2="00000000" w:usb3="00000000" w:csb0="400001BF" w:csb1="DFF7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auto"/>
    <w:pitch w:val="variable"/>
    <w:sig w:usb0="00007A87" w:usb1="80000000" w:usb2="00000008" w:usb3="00000000" w:csb0="400001FF" w:csb1="FFFF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growAutofit/>
    <w:useAltKinsokuLineBreakRules/>
    <w:splitPgBreakAndParaMark/>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jc w:val="both"/>
    </w:pPr>
    <w:rPr>
      <w:rFonts w:ascii="Calibri" w:eastAsia="宋体" w:cs="Arial" w:hAnsi="Calibri"/>
      <w:kern w:val="2"/>
      <w:sz w:val="21"/>
      <w:szCs w:val="22"/>
      <w:lang w:val="en-US" w:eastAsia="zh-CN" w:bidi="ar-SA"/>
    </w:rPr>
  </w:style>
  <w:style w:type="character" w:default="1" w:styleId="10">
    <w:name w:val="Default Paragraph Font"/>
  </w:style>
  <w:style w:type="paragraph" w:styleId="15">
    <w:name w:val="header"/>
    <w:basedOn w:val="0"/>
    <w:pPr>
      <w:pBdr>
        <w:bottom w:val="single" w:sz="6" w:space="1" w:color="auto"/>
      </w:pBdr>
      <w:tabs>
        <w:tab w:val="center" w:pos="4153"/>
        <w:tab w:val="right" w:pos="8306"/>
      </w:tabs>
      <w:snapToGrid w:val="0"/>
      <w:jc w:val="center"/>
    </w:pPr>
    <w:rPr>
      <w:sz w:val="18"/>
      <w:szCs w:val="18"/>
    </w:rPr>
  </w:style>
  <w:style w:type="paragraph" w:styleId="16">
    <w:name w:val="footer"/>
    <w:basedOn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145</TotalTime>
  <Application>Yozo_Office</Application>
  <Pages>1</Pages>
  <Words>810</Words>
  <Characters>882</Characters>
  <Lines>34</Lines>
  <Paragraphs>13</Paragraphs>
  <CharactersWithSpaces>900</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fangdi</dc:creator>
  <cp:lastModifiedBy>林朝阳</cp:lastModifiedBy>
  <cp:revision>2</cp:revision>
  <dcterms:created xsi:type="dcterms:W3CDTF">2020-03-09T03:22:00Z</dcterms:created>
  <dcterms:modified xsi:type="dcterms:W3CDTF">2024-07-04T01:43:21Z</dcterms:modified>
</cp:coreProperties>
</file>