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0" w:line="560" w:lineRule="exact"/>
        <w:jc w:val="both"/>
        <w:rPr>
          <w:rFonts w:ascii="Times New Roman" w:eastAsia="方正仿宋_GBK" w:hAnsi="Times New Roman"/>
          <w:color w:val="000000"/>
          <w:sz w:val="32"/>
        </w:rPr>
      </w:pPr>
      <w:bookmarkStart w:id="0" w:name="_GoBack"/>
      <w:bookmarkEnd w:id="0"/>
      <w:r>
        <w:rPr>
          <w:rFonts w:ascii="Times New Roman" w:eastAsia="方正仿宋_GBK" w:hAnsi="Times New Roman" w:hint="eastAsia"/>
          <w:color w:val="000000"/>
          <w:sz w:val="32"/>
        </w:rPr>
        <w:t>附件</w:t>
      </w:r>
    </w:p>
    <w:p>
      <w:pPr>
        <w:spacing w:after="0" w:line="560"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西安海关增加造价咨询服务机构考察比选原则</w:t>
      </w:r>
    </w:p>
    <w:p>
      <w:pPr>
        <w:spacing w:after="0" w:line="560" w:lineRule="exact"/>
        <w:ind w:firstLineChars="200" w:firstLine="640"/>
        <w:jc w:val="both"/>
        <w:rPr>
          <w:rFonts w:ascii="Times New Roman" w:eastAsia="方正仿宋_GBK" w:hAnsi="Times New Roman"/>
          <w:color w:val="000000"/>
          <w:sz w:val="32"/>
        </w:rPr>
      </w:pPr>
    </w:p>
    <w:p>
      <w:pPr>
        <w:spacing w:after="0" w:line="560" w:lineRule="exact"/>
        <w:ind w:firstLineChars="200" w:firstLine="640"/>
        <w:jc w:val="both"/>
        <w:rPr>
          <w:rFonts w:ascii="方正黑体_GBK" w:eastAsia="方正黑体_GBK"/>
          <w:color w:val="000000"/>
          <w:sz w:val="32"/>
        </w:rPr>
      </w:pPr>
      <w:r>
        <w:rPr>
          <w:rFonts w:ascii="方正黑体_GBK" w:eastAsia="方正黑体_GBK" w:hint="eastAsia"/>
          <w:color w:val="000000"/>
          <w:sz w:val="32"/>
        </w:rPr>
        <w:t>一、考察比选组织形式</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本次考察比选由西安海关组织考察小组，开展考察比选，造价咨询服务机构不参加考察比选会议。</w:t>
      </w:r>
    </w:p>
    <w:p>
      <w:pPr>
        <w:spacing w:after="0" w:line="560" w:lineRule="exact"/>
        <w:ind w:firstLineChars="200" w:firstLine="640"/>
        <w:jc w:val="both"/>
        <w:rPr>
          <w:rFonts w:ascii="方正黑体_GBK" w:eastAsia="方正黑体_GBK"/>
          <w:color w:val="000000"/>
          <w:sz w:val="32"/>
        </w:rPr>
      </w:pPr>
      <w:r>
        <w:rPr>
          <w:rFonts w:ascii="方正黑体_GBK" w:eastAsia="方正黑体_GBK" w:hint="eastAsia"/>
          <w:color w:val="000000"/>
          <w:sz w:val="32"/>
        </w:rPr>
        <w:t>二、考察比选方式</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本次考察比选采用综合比选方式。</w:t>
      </w:r>
    </w:p>
    <w:p>
      <w:pPr>
        <w:spacing w:after="0" w:line="560" w:lineRule="exact"/>
        <w:ind w:firstLineChars="200" w:firstLine="640"/>
        <w:jc w:val="both"/>
        <w:rPr>
          <w:rFonts w:ascii="方正黑体_GBK" w:eastAsia="方正黑体_GBK"/>
          <w:color w:val="000000"/>
          <w:sz w:val="32"/>
        </w:rPr>
      </w:pPr>
      <w:r>
        <w:rPr>
          <w:rFonts w:ascii="方正黑体_GBK" w:eastAsia="方正黑体_GBK" w:hint="eastAsia"/>
          <w:color w:val="000000"/>
          <w:sz w:val="32"/>
        </w:rPr>
        <w:t>三、资格性和符合性审查</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（一）考察小组根据《资格性和符合性审查表》（附表一）内容逐条对考察比选文件的资格性和符合性进行评审，审查每份文件是否实质上响应资格性和符合性要求。</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二）只有全部满足《资格性和符合性审查表》所列各项要求的文件才是有效的，只要不满足《资格性和符合性审查表》所列各项要求之一的，将被认定为无效。对有效性认定意见不一致的，考察小组按“简单多数”原则表决决定，无效的不能进入技术、商务及价格评审。</w:t>
      </w:r>
    </w:p>
    <w:p>
      <w:pPr>
        <w:spacing w:after="0" w:line="560" w:lineRule="exact"/>
        <w:ind w:firstLineChars="200" w:firstLine="640"/>
        <w:jc w:val="both"/>
        <w:rPr>
          <w:rFonts w:ascii="方正黑体_GBK" w:eastAsia="方正黑体_GBK"/>
          <w:color w:val="000000"/>
          <w:sz w:val="32"/>
        </w:rPr>
      </w:pPr>
      <w:r>
        <w:rPr>
          <w:rFonts w:ascii="方正黑体_GBK" w:eastAsia="方正黑体_GBK" w:hint="eastAsia"/>
          <w:color w:val="000000"/>
          <w:sz w:val="32"/>
        </w:rPr>
        <w:t>四、评审内容及分值</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评分总值最高为100分，评分分值（权重）分配如下：</w:t>
      </w:r>
    </w:p>
    <w:tbl>
      <w:tblPr>
        <w:jc w:val="left"/>
        <w:tblW w:w="8214"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053"/>
        <w:gridCol w:w="2054"/>
        <w:gridCol w:w="2053"/>
        <w:gridCol w:w="2054"/>
      </w:tblGrid>
      <w:tr>
        <w:tc>
          <w:tcPr>
            <w:tcW w:w="2053"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评分项目</w:t>
            </w:r>
          </w:p>
        </w:tc>
        <w:tc>
          <w:tcPr>
            <w:tcW w:w="2054"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技术评分</w:t>
            </w:r>
          </w:p>
        </w:tc>
        <w:tc>
          <w:tcPr>
            <w:tcW w:w="2053"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商务评分</w:t>
            </w:r>
          </w:p>
        </w:tc>
        <w:tc>
          <w:tcPr>
            <w:tcW w:w="2054"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价格评分</w:t>
            </w:r>
          </w:p>
        </w:tc>
      </w:tr>
      <w:tr>
        <w:tc>
          <w:tcPr>
            <w:tcW w:w="2053"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分值</w:t>
            </w:r>
          </w:p>
        </w:tc>
        <w:tc>
          <w:tcPr>
            <w:tcW w:w="2054"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40分</w:t>
            </w:r>
          </w:p>
        </w:tc>
        <w:tc>
          <w:tcPr>
            <w:tcW w:w="2053"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30分</w:t>
            </w:r>
          </w:p>
        </w:tc>
        <w:tc>
          <w:tcPr>
            <w:tcW w:w="2054"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30分</w:t>
            </w:r>
          </w:p>
        </w:tc>
      </w:tr>
    </w:tbl>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注：各评委的算术平均值为该报价人的技术评分、商务评分。将技术评分、商务评分和价格评分相加得出总得分（总得分分值按四舍五入原则精确到小数点后两位）。</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（一）技术评审：技术评分项明细及各单项所占权重详见附表二：《技术评审表》；</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（二）商务评审：商务评分项明细及各单项所占权重详见附表三：《商务评审表》；</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（三）价格评审：</w:t>
      </w:r>
    </w:p>
    <w:tbl>
      <w:tblPr>
        <w:jc w:val="left"/>
        <w:tblW w:w="879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647"/>
        <w:gridCol w:w="5256"/>
        <w:gridCol w:w="1887"/>
      </w:tblGrid>
      <w:tr>
        <w:tc>
          <w:tcPr>
            <w:tcW w:w="1650"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评分项目</w:t>
            </w:r>
          </w:p>
        </w:tc>
        <w:tc>
          <w:tcPr>
            <w:tcW w:w="5265"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ind w:firstLineChars="200" w:firstLine="640"/>
              <w:jc w:val="center"/>
              <w:rPr>
                <w:rFonts w:ascii="Times New Roman" w:eastAsia="方正仿宋_GBK" w:hAnsi="Times New Roman"/>
                <w:color w:val="000000"/>
                <w:sz w:val="32"/>
              </w:rPr>
            </w:pPr>
            <w:r>
              <w:rPr>
                <w:rFonts w:ascii="Times New Roman" w:eastAsia="方正仿宋_GBK" w:hAnsi="Times New Roman" w:hint="eastAsia"/>
                <w:color w:val="000000"/>
                <w:sz w:val="32"/>
              </w:rPr>
              <w:t>详细评审</w:t>
            </w:r>
          </w:p>
        </w:tc>
        <w:tc>
          <w:tcPr>
            <w:tcW w:w="1890"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价格评分</w:t>
            </w:r>
          </w:p>
        </w:tc>
      </w:tr>
      <w:tr>
        <w:tc>
          <w:tcPr>
            <w:tcW w:w="1650"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分值</w:t>
            </w:r>
          </w:p>
        </w:tc>
        <w:tc>
          <w:tcPr>
            <w:tcW w:w="5265"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rPr>
                <w:rFonts w:ascii="Times New Roman" w:eastAsia="方正仿宋_GBK" w:hAnsi="Times New Roman"/>
                <w:color w:val="000000"/>
                <w:sz w:val="32"/>
              </w:rPr>
            </w:pPr>
            <w:r>
              <w:rPr>
                <w:rFonts w:ascii="Times New Roman" w:eastAsia="方正仿宋_GBK" w:hAnsi="Times New Roman" w:hint="eastAsia"/>
                <w:color w:val="000000"/>
                <w:sz w:val="32"/>
              </w:rPr>
              <w:t>按送审工程造价的3‰收取基本审核费，按审减额的4％收取成果费。基本审核费计取金额不足RMB1800元按1800元计取。</w:t>
            </w:r>
          </w:p>
        </w:tc>
        <w:tc>
          <w:tcPr>
            <w:tcW w:w="1890" w:type="dxa"/>
            <w:tcBorders>
              <w:top w:val="outset" w:sz="6" w:space="0" w:color="111111"/>
              <w:left w:val="outset" w:sz="6" w:space="0" w:color="111111"/>
              <w:bottom w:val="outset" w:sz="6" w:space="0" w:color="111111"/>
              <w:right w:val="outset" w:sz="6" w:space="0" w:color="111111"/>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30分</w:t>
            </w:r>
          </w:p>
        </w:tc>
      </w:tr>
    </w:tbl>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注：响应计30分，不响应计0分。</w:t>
      </w:r>
    </w:p>
    <w:p>
      <w:pPr>
        <w:spacing w:after="0" w:line="560" w:lineRule="exact"/>
        <w:ind w:firstLineChars="200" w:firstLine="640"/>
        <w:jc w:val="both"/>
        <w:rPr>
          <w:rFonts w:ascii="Times New Roman" w:eastAsia="方正仿宋_GBK" w:hAnsi="Times New Roman"/>
          <w:color w:val="000000"/>
          <w:sz w:val="32"/>
        </w:rPr>
      </w:pPr>
      <w:r>
        <w:rPr>
          <w:rFonts w:ascii="方正黑体_GBK" w:eastAsia="方正黑体_GBK" w:hint="eastAsia"/>
          <w:color w:val="000000"/>
          <w:sz w:val="32"/>
        </w:rPr>
        <w:t>五、报价及其他事项说明</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（一）请按照本原则自行准备相关材料，装订成册形成考察比选文件，封面和骑缝加盖机构公章。</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（二）递交文件格式要求：纸质文件与相关电子件密封提供，封面写明机构名称、联系人、电话、时间。报价文件数量为正本壹份，副本两份，U盘壹份。</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三）提供的宣传资料、网站截图、承诺书或相关证书等证明文件，必须保证材料的真实性，我单位保留对入围机构开展现场考察核实的权利。在后续的项目实施过程中，如发现报价文件弄虚作假、虚假承诺的或随意更换服务人员的，我单位有权立即终止合作。</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（四）造价咨询服务机构所提交的所有资料仅供我单位内部考察评审及备案之用，上述资料考察比选完成后不予退回。</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（五）我单位仅对经考察比选确定入围的造价咨询服务机构，通知商谈合作、签订委托合同事宜。</w:t>
      </w:r>
    </w:p>
    <w:p>
      <w:pPr>
        <w:widowControl/>
        <w:rPr>
          <w:rFonts w:ascii="Times New Roman" w:eastAsia="方正仿宋_GBK" w:hAnsi="Times New Roman"/>
          <w:color w:val="000000"/>
          <w:sz w:val="32"/>
        </w:rPr>
      </w:pPr>
      <w:r>
        <w:rPr>
          <w:rFonts w:ascii="Times New Roman" w:eastAsia="方正仿宋_GBK" w:hAnsi="Times New Roman"/>
          <w:color w:val="000000"/>
          <w:sz w:val="32"/>
        </w:rPr>
        <w:br w:type="page"/>
      </w:r>
    </w:p>
    <w:p>
      <w:pPr>
        <w:spacing w:after="0" w:line="560" w:lineRule="exact"/>
        <w:jc w:val="center"/>
        <w:rPr>
          <w:rFonts w:ascii="方正小标宋_GBK" w:eastAsia="方正小标宋_GBK"/>
          <w:color w:val="000000"/>
          <w:sz w:val="32"/>
        </w:rPr>
      </w:pPr>
      <w:r>
        <w:rPr>
          <w:rFonts w:ascii="方正小标宋_GBK" w:eastAsia="方正小标宋_GBK" w:hint="eastAsia"/>
          <w:color w:val="000000"/>
          <w:sz w:val="32"/>
        </w:rPr>
        <w:t>附表一：《资格性和符合性审查表》</w:t>
      </w:r>
    </w:p>
    <w:tbl>
      <w:tblPr>
        <w:jc w:val="left"/>
        <w:tblInd w:w="0" w:type="dx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92"/>
        <w:gridCol w:w="2720"/>
        <w:gridCol w:w="4243"/>
      </w:tblGrid>
      <w:tr>
        <w:tc>
          <w:tcPr>
            <w:tcW w:w="1792" w:type="dxa"/>
          </w:tcPr>
          <w:p>
            <w:pPr>
              <w:spacing w:line="560" w:lineRule="exact"/>
              <w:jc w:val="center"/>
              <w:rPr>
                <w:rFonts w:ascii="方正仿宋_GBK" w:eastAsia="方正仿宋_GBK"/>
                <w:color w:val="000000"/>
                <w:sz w:val="32"/>
              </w:rPr>
            </w:pPr>
            <w:r>
              <w:rPr>
                <w:rFonts w:ascii="方正仿宋_GBK" w:eastAsia="方正仿宋_GBK" w:hint="eastAsia"/>
                <w:color w:val="000000"/>
                <w:sz w:val="32"/>
              </w:rPr>
              <w:t>评审项</w:t>
            </w:r>
          </w:p>
        </w:tc>
        <w:tc>
          <w:tcPr>
            <w:tcW w:w="2720" w:type="dxa"/>
          </w:tcPr>
          <w:p>
            <w:pPr>
              <w:spacing w:line="560" w:lineRule="exact"/>
              <w:jc w:val="center"/>
              <w:rPr>
                <w:rFonts w:ascii="方正仿宋_GBK" w:eastAsia="方正仿宋_GBK"/>
                <w:color w:val="000000"/>
                <w:sz w:val="32"/>
              </w:rPr>
            </w:pPr>
            <w:r>
              <w:rPr>
                <w:rFonts w:ascii="方正仿宋_GBK" w:eastAsia="方正仿宋_GBK" w:hint="eastAsia"/>
                <w:color w:val="000000"/>
                <w:sz w:val="32"/>
              </w:rPr>
              <w:t>评审因素</w:t>
            </w:r>
          </w:p>
        </w:tc>
        <w:tc>
          <w:tcPr>
            <w:tcW w:w="4243" w:type="dxa"/>
          </w:tcPr>
          <w:p>
            <w:pPr>
              <w:spacing w:line="560" w:lineRule="exact"/>
              <w:jc w:val="center"/>
              <w:rPr>
                <w:rFonts w:ascii="方正仿宋_GBK" w:eastAsia="方正仿宋_GBK"/>
                <w:color w:val="000000"/>
                <w:sz w:val="32"/>
              </w:rPr>
            </w:pPr>
            <w:r>
              <w:rPr>
                <w:rFonts w:ascii="方正仿宋_GBK" w:eastAsia="方正仿宋_GBK" w:hint="eastAsia"/>
                <w:color w:val="000000"/>
                <w:sz w:val="32"/>
              </w:rPr>
              <w:t>评审内容及原则</w:t>
            </w:r>
          </w:p>
        </w:tc>
      </w:tr>
      <w:tr>
        <w:tc>
          <w:tcPr>
            <w:tcW w:w="1792" w:type="dxa"/>
            <w:vMerge w:val="restart"/>
            <w:vAlign w:val="center"/>
          </w:tcPr>
          <w:p>
            <w:pPr>
              <w:spacing w:line="560" w:lineRule="exact"/>
              <w:jc w:val="center"/>
              <w:rPr>
                <w:rFonts w:ascii="方正仿宋_GBK" w:eastAsia="方正仿宋_GBK"/>
                <w:color w:val="000000"/>
                <w:sz w:val="32"/>
              </w:rPr>
            </w:pPr>
            <w:r>
              <w:rPr>
                <w:rFonts w:ascii="方正仿宋_GBK" w:eastAsia="方正仿宋_GBK" w:hint="eastAsia"/>
                <w:color w:val="000000"/>
                <w:sz w:val="32"/>
              </w:rPr>
              <w:t>资格审查</w:t>
            </w: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营业执照、税务登记证、组织机构代码证（或统一社会信用代码的营业执照）</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合法有效，经营范围包含造价咨询相关业务。</w:t>
            </w:r>
          </w:p>
        </w:tc>
      </w:tr>
      <w:tr>
        <w:tc>
          <w:tcPr>
            <w:tcW w:w="1792" w:type="dxa"/>
            <w:vMerge/>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法定代表人授权书及被授权人身份证（法定代表人直接参加投标只须提供法定代表人身份证）</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合法有效，并符合招标文件要求。</w:t>
            </w:r>
          </w:p>
        </w:tc>
      </w:tr>
      <w:tr>
        <w:tc>
          <w:tcPr>
            <w:tcW w:w="1792" w:type="dxa"/>
            <w:vMerge/>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项目负责人资格</w:t>
            </w:r>
          </w:p>
        </w:tc>
        <w:tc>
          <w:tcPr>
            <w:tcW w:w="4243" w:type="dxa"/>
            <w:vAlign w:val="center"/>
          </w:tcPr>
          <w:p>
            <w:pPr>
              <w:tabs>
                <w:tab w:val="left" w:pos="960"/>
              </w:tabs>
              <w:spacing w:line="400" w:lineRule="exact"/>
              <w:jc w:val="both"/>
              <w:rPr>
                <w:rFonts w:ascii="方正仿宋_GBK" w:eastAsia="方正仿宋_GBK"/>
                <w:color w:val="000000"/>
                <w:sz w:val="32"/>
              </w:rPr>
            </w:pPr>
            <w:r>
              <w:rPr>
                <w:rFonts w:ascii="方正仿宋_GBK" w:eastAsia="方正仿宋_GBK" w:hint="eastAsia"/>
                <w:color w:val="000000"/>
                <w:sz w:val="32"/>
              </w:rPr>
              <w:t>项目负责人具有一级造价工程师职业资格，且在本单位注册</w:t>
            </w:r>
          </w:p>
        </w:tc>
      </w:tr>
      <w:tr>
        <w:tc>
          <w:tcPr>
            <w:tcW w:w="1792" w:type="dxa"/>
            <w:vMerge/>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其他要求</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投标人承诺可在陕西省内所有地区开展工作，并提供书面承诺。（格式自拟）</w:t>
            </w:r>
          </w:p>
        </w:tc>
      </w:tr>
      <w:tr>
        <w:tc>
          <w:tcPr>
            <w:tcW w:w="1792" w:type="dxa"/>
            <w:vMerge/>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诚信声明</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投标人应出具参加本次招标采购活动前</w:t>
            </w:r>
            <w:r>
              <w:rPr>
                <w:rFonts w:ascii="Times New Roman" w:eastAsia="方正仿宋_GBK" w:cs="Times New Roman" w:hAnsi="Times New Roman"/>
                <w:color w:val="000000"/>
                <w:sz w:val="32"/>
              </w:rPr>
              <w:t>3</w:t>
            </w:r>
            <w:r>
              <w:rPr>
                <w:rFonts w:ascii="方正仿宋_GBK" w:eastAsia="方正仿宋_GBK" w:hint="eastAsia"/>
                <w:color w:val="000000"/>
                <w:sz w:val="32"/>
              </w:rPr>
              <w:t>年内在经营活动中没有重大违纪书面声明，以及不得为“信用中国”网站（</w:t>
            </w:r>
            <w:r>
              <w:rPr>
                <w:rFonts w:ascii="Times New Roman" w:eastAsia="方正仿宋_GBK" w:cs="Times New Roman" w:hAnsi="Times New Roman"/>
                <w:color w:val="000000"/>
                <w:sz w:val="32"/>
              </w:rPr>
              <w:t>www.creditchina.gov.cn</w:t>
            </w:r>
            <w:r>
              <w:rPr>
                <w:rFonts w:ascii="方正仿宋_GBK" w:eastAsia="方正仿宋_GBK" w:hint="eastAsia"/>
                <w:color w:val="000000"/>
                <w:sz w:val="32"/>
              </w:rPr>
              <w:t>）中列入失信被执行人和重大税收违法案件当事人名单的投标人、政府采购严重违法失信名单的截图证明；</w:t>
            </w:r>
          </w:p>
        </w:tc>
      </w:tr>
      <w:tr>
        <w:tc>
          <w:tcPr>
            <w:tcW w:w="1792" w:type="dxa"/>
            <w:vMerge w:val="restart"/>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有效性审查</w:t>
            </w: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投标文件格式及签章</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符合招标文件规定的格式，签字或盖章齐全。</w:t>
            </w:r>
          </w:p>
        </w:tc>
      </w:tr>
      <w:tr>
        <w:tc>
          <w:tcPr>
            <w:tcW w:w="1792" w:type="dxa"/>
            <w:vMerge/>
            <w:vAlign w:val="center"/>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技术方案</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只能有一个技术方案。</w:t>
            </w:r>
          </w:p>
        </w:tc>
      </w:tr>
      <w:tr>
        <w:tc>
          <w:tcPr>
            <w:tcW w:w="1792" w:type="dxa"/>
            <w:vMerge/>
            <w:vAlign w:val="center"/>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报价唯一</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只能有一个有效报价，不得提交选择性报价。</w:t>
            </w:r>
          </w:p>
        </w:tc>
      </w:tr>
      <w:tr>
        <w:tc>
          <w:tcPr>
            <w:tcW w:w="1792" w:type="dxa"/>
            <w:vMerge w:val="restart"/>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完整性审查</w:t>
            </w: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投标文件份数</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投标文件正、副本数量符合招标文件要求。</w:t>
            </w:r>
          </w:p>
        </w:tc>
      </w:tr>
      <w:tr>
        <w:tc>
          <w:tcPr>
            <w:tcW w:w="1792" w:type="dxa"/>
            <w:vMerge/>
            <w:vAlign w:val="center"/>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投标文件内容</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投标文件内容齐全、无遗漏。</w:t>
            </w:r>
          </w:p>
        </w:tc>
      </w:tr>
      <w:tr>
        <w:tc>
          <w:tcPr>
            <w:tcW w:w="1792" w:type="dxa"/>
            <w:vMerge w:val="restart"/>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响应性审查</w:t>
            </w: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投标文件内容</w:t>
            </w:r>
          </w:p>
        </w:tc>
        <w:tc>
          <w:tcPr>
            <w:tcW w:w="4243" w:type="dxa"/>
            <w:vAlign w:val="center"/>
          </w:tcPr>
          <w:p>
            <w:pPr>
              <w:spacing w:line="400" w:lineRule="exact"/>
              <w:jc w:val="both"/>
              <w:rPr>
                <w:rFonts w:ascii="方正仿宋_GBK" w:eastAsia="方正仿宋_GBK"/>
                <w:color w:val="000000"/>
                <w:sz w:val="32"/>
              </w:rPr>
            </w:pPr>
            <w:r>
              <w:rPr>
                <w:rFonts w:ascii="方正仿宋_GBK" w:eastAsia="方正仿宋_GBK" w:hint="eastAsia"/>
                <w:color w:val="000000"/>
                <w:sz w:val="32"/>
              </w:rPr>
              <w:t>对招标文件规定的内容作出响应。</w:t>
            </w:r>
          </w:p>
        </w:tc>
      </w:tr>
      <w:tr>
        <w:tc>
          <w:tcPr>
            <w:tcW w:w="1792" w:type="dxa"/>
            <w:vMerge/>
            <w:vAlign w:val="center"/>
          </w:tcPr>
          <w:p/>
        </w:tc>
        <w:tc>
          <w:tcPr>
            <w:tcW w:w="2720" w:type="dxa"/>
            <w:vAlign w:val="center"/>
          </w:tcPr>
          <w:p>
            <w:pPr>
              <w:spacing w:line="400" w:lineRule="exact"/>
              <w:jc w:val="center"/>
              <w:rPr>
                <w:rFonts w:ascii="方正仿宋_GBK" w:eastAsia="方正仿宋_GBK"/>
                <w:color w:val="000000"/>
                <w:sz w:val="32"/>
              </w:rPr>
            </w:pPr>
            <w:r>
              <w:rPr>
                <w:rFonts w:ascii="方正仿宋_GBK" w:eastAsia="方正仿宋_GBK" w:hint="eastAsia"/>
                <w:color w:val="000000"/>
                <w:sz w:val="32"/>
              </w:rPr>
              <w:t>投标有效期</w:t>
            </w:r>
          </w:p>
        </w:tc>
        <w:tc>
          <w:tcPr>
            <w:tcW w:w="4243" w:type="dxa"/>
            <w:vAlign w:val="center"/>
          </w:tcPr>
          <w:p>
            <w:pPr>
              <w:tabs>
                <w:tab w:val="left" w:pos="1380"/>
              </w:tabs>
              <w:spacing w:line="400" w:lineRule="exact"/>
              <w:jc w:val="both"/>
              <w:rPr>
                <w:rFonts w:ascii="方正仿宋_GBK" w:eastAsia="方正仿宋_GBK"/>
                <w:color w:val="000000"/>
                <w:sz w:val="32"/>
              </w:rPr>
            </w:pPr>
            <w:r>
              <w:rPr>
                <w:rFonts w:ascii="方正仿宋_GBK" w:eastAsia="方正仿宋_GBK" w:hint="eastAsia"/>
                <w:color w:val="000000"/>
                <w:sz w:val="32"/>
              </w:rPr>
              <w:t>满足招标文件规定。</w:t>
            </w:r>
          </w:p>
        </w:tc>
      </w:tr>
    </w:tbl>
    <w:p>
      <w:pPr>
        <w:spacing w:after="0" w:line="560" w:lineRule="exact"/>
        <w:jc w:val="both"/>
        <w:rPr>
          <w:rFonts w:ascii="Times New Roman" w:eastAsia="方正仿宋_GBK" w:hAnsi="Times New Roman"/>
          <w:color w:val="000000"/>
          <w:sz w:val="32"/>
        </w:rPr>
      </w:pPr>
      <w:r>
        <w:rPr>
          <w:rFonts w:ascii="方正小标宋_GBK" w:eastAsia="方正小标宋_GBK" w:hint="eastAsia"/>
          <w:color w:val="000000"/>
          <w:sz w:val="32"/>
        </w:rPr>
        <w:t xml:space="preserve">    </w:t>
      </w:r>
      <w:r>
        <w:rPr>
          <w:rFonts w:ascii="Times New Roman" w:eastAsia="方正仿宋_GBK" w:hAnsi="Times New Roman" w:hint="eastAsia"/>
          <w:color w:val="000000"/>
          <w:sz w:val="32"/>
        </w:rPr>
        <w:t>注：1. 每一项符合的打“√”，不符合的打“×”。</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2. “结论”一栏填写“通过”或“不通过”；任何一项出现“×”的，结论为不通过；不通过的为无效。</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3. 汇总时出现不同意见的，评委会按“简单多数”原则表决决定。</w:t>
      </w:r>
      <w:r>
        <w:rPr>
          <w:rFonts w:ascii="Times New Roman" w:eastAsia="方正仿宋_GBK" w:hAnsi="Times New Roman"/>
          <w:color w:val="000000"/>
          <w:sz w:val="32"/>
        </w:rPr>
        <w:br w:type="page"/>
      </w:r>
    </w:p>
    <w:p>
      <w:pPr>
        <w:spacing w:after="0" w:line="560" w:lineRule="exact"/>
        <w:jc w:val="center"/>
        <w:rPr>
          <w:rFonts w:ascii="方正小标宋_GBK" w:eastAsia="方正小标宋_GBK"/>
          <w:color w:val="000000"/>
          <w:sz w:val="32"/>
        </w:rPr>
      </w:pPr>
      <w:r>
        <w:rPr>
          <w:rFonts w:ascii="方正小标宋_GBK" w:eastAsia="方正小标宋_GBK" w:hint="eastAsia"/>
          <w:color w:val="000000"/>
          <w:sz w:val="32"/>
        </w:rPr>
        <w:t>附表二：《技术评审表》</w:t>
      </w:r>
    </w:p>
    <w:tbl>
      <w:tblPr>
        <w:jc w:val="left"/>
        <w:tblInd w:w="-859" w:type="dxa"/>
        <w:tblW w:w="1032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851"/>
        <w:gridCol w:w="993"/>
        <w:gridCol w:w="7370"/>
        <w:gridCol w:w="1110"/>
      </w:tblGrid>
      <w:tr>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评分因素</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评分项目</w:t>
            </w:r>
          </w:p>
        </w:tc>
        <w:tc>
          <w:tcPr>
            <w:tcW w:w="7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评分细则</w:t>
            </w:r>
          </w:p>
        </w:tc>
        <w:tc>
          <w:tcPr>
            <w:tcW w:w="1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分值</w:t>
            </w:r>
          </w:p>
        </w:tc>
      </w:tr>
      <w:tr>
        <w:tc>
          <w:tcPr>
            <w:tcW w:w="851"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技术</w:t>
            </w:r>
            <w:r>
              <w:rPr>
                <w:rFonts w:ascii="Times New Roman" w:eastAsia="方正仿宋_GBK" w:hAnsi="Times New Roman"/>
                <w:color w:val="000000"/>
                <w:sz w:val="32"/>
              </w:rPr>
              <w:br/>
            </w:r>
            <w:r>
              <w:rPr>
                <w:rFonts w:ascii="Times New Roman" w:eastAsia="方正仿宋_GBK" w:hAnsi="Times New Roman" w:hint="eastAsia"/>
                <w:color w:val="000000"/>
                <w:sz w:val="32"/>
              </w:rPr>
              <w:t>部分</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企业</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总体</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情况</w:t>
            </w:r>
          </w:p>
        </w:tc>
        <w:tc>
          <w:tcPr>
            <w:tcW w:w="7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根据造价咨询服务机构企业基本情况包含但不限于企业成立年限、注册资金、信用等级（如AAA级信用）等，进行比较排名。最高得5分，</w:t>
            </w:r>
            <w:r>
              <w:rPr>
                <w:rFonts w:ascii="Times New Roman" w:eastAsia="方正仿宋_GBK" w:hAnsi="Times New Roman"/>
                <w:color w:val="000000"/>
                <w:sz w:val="32"/>
              </w:rPr>
              <w:t>最低0分</w:t>
            </w:r>
            <w:r>
              <w:rPr>
                <w:rFonts w:ascii="Times New Roman" w:eastAsia="方正仿宋_GBK" w:hAnsi="Times New Roman" w:hint="eastAsia"/>
                <w:color w:val="000000"/>
                <w:sz w:val="32"/>
              </w:rPr>
              <w:t>。</w:t>
            </w:r>
          </w:p>
        </w:tc>
        <w:tc>
          <w:tcPr>
            <w:tcW w:w="1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5</w:t>
            </w:r>
          </w:p>
        </w:tc>
      </w:tr>
      <w:tr>
        <w:tc>
          <w:tcPr>
            <w:tcW w:w="851" w:type="dxa"/>
            <w:vMerge/>
            <w:tcBorders>
              <w:top w:val="single" w:sz="6" w:space="0" w:color="auto"/>
              <w:left w:val="single" w:sz="6" w:space="0" w:color="auto"/>
              <w:bottom w:val="single" w:sz="6" w:space="0" w:color="auto"/>
              <w:right w:val="single" w:sz="6" w:space="0" w:color="auto"/>
            </w:tcBorders>
            <w:vAlign w:val="center"/>
          </w:tcP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业务</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承接</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能力</w:t>
            </w:r>
          </w:p>
        </w:tc>
        <w:tc>
          <w:tcPr>
            <w:tcW w:w="7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1、根据本项目特点提出全过程造价咨询工作重点与难点分析及对策，分析及对策内容无缺漏、详细具体、可行性强，根据响应程度赋分。</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2、审价周期承诺能否满足委托方要求，满足加急任务响应机制是否明确，根据响应程度赋分。</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3、造价咨询服务机构具备档案管理系统，且具备录入、查询功能得3分。</w:t>
            </w:r>
          </w:p>
        </w:tc>
        <w:tc>
          <w:tcPr>
            <w:tcW w:w="1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20</w:t>
            </w:r>
          </w:p>
        </w:tc>
      </w:tr>
      <w:tr>
        <w:tc>
          <w:tcPr>
            <w:tcW w:w="851" w:type="dxa"/>
            <w:vMerge/>
            <w:tcBorders>
              <w:top w:val="single" w:sz="6" w:space="0" w:color="auto"/>
              <w:left w:val="single" w:sz="6" w:space="0" w:color="auto"/>
              <w:bottom w:val="single" w:sz="6" w:space="0" w:color="auto"/>
              <w:right w:val="single" w:sz="6" w:space="0" w:color="auto"/>
            </w:tcBorders>
            <w:vAlign w:val="center"/>
          </w:tcP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拟委</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派人</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员情</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况</w:t>
            </w:r>
          </w:p>
        </w:tc>
        <w:tc>
          <w:tcPr>
            <w:tcW w:w="7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1、项目负责人持有一级注册造价工程师证书或10年（或以上）造价咨询行业从业经验（以本科毕业证书时间起计算），每具备1项得2分，最高得4分。</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2、拟投入项目组成员每具备1名具有国家注册造价工程师资格（或一级造价工程师职业资格）得2分，满分6分。</w:t>
            </w:r>
          </w:p>
        </w:tc>
        <w:tc>
          <w:tcPr>
            <w:tcW w:w="1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10</w:t>
            </w:r>
          </w:p>
        </w:tc>
      </w:tr>
      <w:tr>
        <w:tc>
          <w:tcPr>
            <w:tcW w:w="851" w:type="dxa"/>
            <w:vMerge/>
            <w:tcBorders>
              <w:top w:val="single" w:sz="6" w:space="0" w:color="auto"/>
              <w:left w:val="single" w:sz="6" w:space="0" w:color="auto"/>
              <w:bottom w:val="single" w:sz="6" w:space="0" w:color="auto"/>
              <w:right w:val="single" w:sz="6" w:space="0" w:color="auto"/>
            </w:tcBorders>
            <w:vAlign w:val="center"/>
          </w:tcP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服务</w:t>
            </w:r>
          </w:p>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方案</w:t>
            </w:r>
          </w:p>
        </w:tc>
        <w:tc>
          <w:tcPr>
            <w:tcW w:w="7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针对本项目制定详细、完整服务方案，且具有全面性、可行性、针对性、前瞻性（服务方案完整、可操作性强等，需符合招标文件要求）。根据制定的服务方案进行比较排名，方案最优得5分，</w:t>
            </w:r>
            <w:r>
              <w:rPr>
                <w:rFonts w:ascii="Times New Roman" w:eastAsia="方正仿宋_GBK" w:hAnsi="Times New Roman"/>
                <w:color w:val="000000"/>
                <w:sz w:val="32"/>
              </w:rPr>
              <w:t>最低0分</w:t>
            </w:r>
            <w:r>
              <w:rPr>
                <w:rFonts w:ascii="Times New Roman" w:eastAsia="方正仿宋_GBK" w:hAnsi="Times New Roman" w:hint="eastAsia"/>
                <w:color w:val="000000"/>
                <w:sz w:val="32"/>
              </w:rPr>
              <w:t>。</w:t>
            </w:r>
          </w:p>
        </w:tc>
        <w:tc>
          <w:tcPr>
            <w:tcW w:w="1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5</w:t>
            </w:r>
          </w:p>
        </w:tc>
      </w:tr>
      <w:tr>
        <w:tc>
          <w:tcPr>
            <w:tcW w:w="1844"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合计</w:t>
            </w:r>
          </w:p>
        </w:tc>
        <w:tc>
          <w:tcPr>
            <w:tcW w:w="8480"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40分</w:t>
            </w:r>
          </w:p>
        </w:tc>
      </w:tr>
    </w:tbl>
    <w:p>
      <w:pPr>
        <w:spacing w:after="0" w:line="560" w:lineRule="exact"/>
        <w:ind w:firstLineChars="200" w:firstLine="640"/>
        <w:jc w:val="both"/>
        <w:rPr>
          <w:rFonts w:ascii="Times New Roman" w:eastAsia="方正仿宋_GBK" w:hAnsi="Times New Roman"/>
          <w:color w:val="000000"/>
          <w:sz w:val="32"/>
        </w:rPr>
      </w:pPr>
    </w:p>
    <w:p>
      <w:pPr>
        <w:spacing w:after="0" w:line="560" w:lineRule="exact"/>
        <w:jc w:val="center"/>
        <w:rPr>
          <w:rFonts w:ascii="Times New Roman" w:eastAsia="方正仿宋_GBK" w:hAnsi="Times New Roman"/>
          <w:color w:val="000000"/>
          <w:sz w:val="32"/>
        </w:rPr>
      </w:pPr>
      <w:r>
        <w:rPr>
          <w:rFonts w:ascii="Times New Roman" w:eastAsia="方正仿宋_GBK" w:hAnsi="Times New Roman"/>
          <w:color w:val="000000"/>
          <w:sz w:val="32"/>
        </w:rPr>
        <w:br w:type="page"/>
      </w:r>
      <w:r>
        <w:rPr>
          <w:rFonts w:ascii="方正小标宋_GBK" w:eastAsia="方正小标宋_GBK" w:hint="eastAsia"/>
          <w:color w:val="000000"/>
          <w:sz w:val="32"/>
        </w:rPr>
        <w:t>附表三：《商务评审表》</w:t>
      </w:r>
    </w:p>
    <w:tbl>
      <w:tblPr>
        <w:jc w:val="left"/>
        <w:tblInd w:w="-859" w:type="dxa"/>
        <w:tblW w:w="10324"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986"/>
        <w:gridCol w:w="845"/>
        <w:gridCol w:w="8023"/>
        <w:gridCol w:w="470"/>
      </w:tblGrid>
      <w:tr>
        <w:trPr>
          <w:trHeight w:val="1052"/>
        </w:trPr>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评分因素</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评分项目</w:t>
            </w:r>
          </w:p>
        </w:tc>
        <w:tc>
          <w:tcPr>
            <w:tcW w:w="8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评分细则</w:t>
            </w:r>
          </w:p>
        </w:tc>
        <w:tc>
          <w:tcPr>
            <w:tcW w:w="4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方正黑体_GBK" w:eastAsia="方正黑体_GBK"/>
                <w:color w:val="000000"/>
                <w:sz w:val="32"/>
              </w:rPr>
            </w:pPr>
            <w:r>
              <w:rPr>
                <w:rFonts w:ascii="方正黑体_GBK" w:eastAsia="方正黑体_GBK" w:hint="eastAsia"/>
                <w:color w:val="000000"/>
                <w:sz w:val="32"/>
              </w:rPr>
              <w:t>分值</w:t>
            </w:r>
          </w:p>
        </w:tc>
      </w:tr>
      <w:tr>
        <w:tc>
          <w:tcPr>
            <w:tcW w:w="993"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rPr>
                <w:rFonts w:ascii="Times New Roman" w:eastAsia="方正仿宋_GBK" w:hAnsi="Times New Roman"/>
                <w:color w:val="000000"/>
                <w:sz w:val="32"/>
              </w:rPr>
            </w:pPr>
            <w:r>
              <w:rPr>
                <w:rFonts w:ascii="Times New Roman" w:eastAsia="方正仿宋_GBK" w:hAnsi="Times New Roman" w:hint="eastAsia"/>
                <w:color w:val="000000"/>
                <w:sz w:val="32"/>
              </w:rPr>
              <w:t>商务部分</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综合能力</w:t>
            </w:r>
          </w:p>
        </w:tc>
        <w:tc>
          <w:tcPr>
            <w:tcW w:w="8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造价咨询服务机构具有有效的认证证书：</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1、具有质量管理体系认证证；</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2、具有环境管理体系认证证；</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3、具有职业健康管理体系认证；</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每提供一类证书得2分，满分6分。</w:t>
            </w:r>
          </w:p>
        </w:tc>
        <w:tc>
          <w:tcPr>
            <w:tcW w:w="4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6</w:t>
            </w:r>
          </w:p>
        </w:tc>
      </w:tr>
      <w:tr>
        <w:tc>
          <w:tcPr>
            <w:tcW w:w="993" w:type="dxa"/>
            <w:vMerge/>
            <w:tcBorders>
              <w:top w:val="single" w:sz="6" w:space="0" w:color="auto"/>
              <w:left w:val="single" w:sz="6" w:space="0" w:color="auto"/>
              <w:bottom w:val="single" w:sz="6" w:space="0" w:color="auto"/>
              <w:right w:val="single" w:sz="6" w:space="0" w:color="auto"/>
            </w:tcBorders>
            <w:vAlign w:val="center"/>
          </w:tcP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专业技术能力</w:t>
            </w:r>
          </w:p>
        </w:tc>
        <w:tc>
          <w:tcPr>
            <w:tcW w:w="8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 xml:space="preserve">1、获得过省级以上造价协会颁发的“优秀造价咨询企业”称号；或连续两年以上被委托方评为优秀合作单位。每一个得2分，满分8分。     </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2、自2023年1月1日至今，服务所在地级市行政事业单位、中央驻陕单位数量。按照签约家数排序评分，承接同一单位的多个项目按照1家计算，数量最多得6分，次之以1分递减。</w:t>
            </w:r>
          </w:p>
        </w:tc>
        <w:tc>
          <w:tcPr>
            <w:tcW w:w="4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14</w:t>
            </w:r>
          </w:p>
        </w:tc>
      </w:tr>
      <w:tr>
        <w:tc>
          <w:tcPr>
            <w:tcW w:w="993" w:type="dxa"/>
            <w:vMerge/>
            <w:tcBorders>
              <w:top w:val="single" w:sz="6" w:space="0" w:color="auto"/>
              <w:left w:val="single" w:sz="6" w:space="0" w:color="auto"/>
              <w:bottom w:val="single" w:sz="6" w:space="0" w:color="auto"/>
              <w:right w:val="single" w:sz="6" w:space="0" w:color="auto"/>
            </w:tcBorders>
            <w:vAlign w:val="center"/>
          </w:tcP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both"/>
              <w:rPr>
                <w:rFonts w:ascii="Times New Roman" w:eastAsia="方正仿宋_GBK" w:hAnsi="Times New Roman"/>
                <w:color w:val="000000"/>
                <w:sz w:val="32"/>
              </w:rPr>
            </w:pPr>
            <w:r>
              <w:rPr>
                <w:rFonts w:ascii="Times New Roman" w:eastAsia="方正仿宋_GBK" w:hAnsi="Times New Roman" w:hint="eastAsia"/>
                <w:color w:val="000000"/>
                <w:sz w:val="32"/>
              </w:rPr>
              <w:t>项目实施经验</w:t>
            </w:r>
          </w:p>
        </w:tc>
        <w:tc>
          <w:tcPr>
            <w:tcW w:w="8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拟投入本项目团队人员自2023年1月1日以来办理造价咨询项目类别、数量进行比较排名：</w:t>
            </w:r>
          </w:p>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承接800万元（含）以上项目数量最多的得4分，次之以0.4分递减；承接200万元（含）以上项目数量最多的得4分，次之以0.4分递减；承接200万元以下项目数量最多的得2分，次之以0.2分递减。本项合计最高不超过10分。</w:t>
            </w:r>
          </w:p>
        </w:tc>
        <w:tc>
          <w:tcPr>
            <w:tcW w:w="4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10</w:t>
            </w:r>
          </w:p>
        </w:tc>
      </w:tr>
      <w:tr>
        <w:tc>
          <w:tcPr>
            <w:tcW w:w="1844"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hint="eastAsia"/>
                <w:color w:val="000000"/>
                <w:sz w:val="32"/>
              </w:rPr>
              <w:t>合计</w:t>
            </w:r>
          </w:p>
        </w:tc>
        <w:tc>
          <w:tcPr>
            <w:tcW w:w="8480"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pPr>
              <w:spacing w:after="0" w:line="560" w:lineRule="exact"/>
              <w:jc w:val="center"/>
              <w:rPr>
                <w:rFonts w:ascii="Times New Roman" w:eastAsia="方正仿宋_GBK" w:hAnsi="Times New Roman"/>
                <w:color w:val="000000"/>
                <w:sz w:val="32"/>
              </w:rPr>
            </w:pPr>
            <w:r>
              <w:rPr>
                <w:rFonts w:ascii="Times New Roman" w:eastAsia="方正仿宋_GBK" w:hAnsi="Times New Roman" w:hint="eastAsia"/>
                <w:color w:val="000000"/>
                <w:sz w:val="32"/>
              </w:rPr>
              <w:t>30分</w:t>
            </w:r>
          </w:p>
        </w:tc>
      </w:tr>
    </w:tbl>
    <w:p>
      <w:pPr>
        <w:spacing w:after="0" w:line="560" w:lineRule="exact"/>
        <w:rPr>
          <w:rFonts w:ascii="Times New Roman" w:eastAsia="方正仿宋_GBK" w:hAnsi="Times New Roman"/>
          <w:color w:val="000000"/>
          <w:sz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等线">
    <w:altName w:val="EU-B1"/>
    <w:panose1 w:val="00000000000000000000"/>
    <w:charset w:val="86"/>
    <w:family w:val="auto"/>
    <w:pitch w:val="variable"/>
    <w:sig w:usb0="00000000" w:usb1="38CF7CFA" w:usb2="00000016" w:usb3="00000000" w:csb0="0004000F" w:csb1="00000000"/>
  </w:font>
  <w:font w:name="Arial">
    <w:panose1 w:val="020B0604020202020204"/>
    <w:charset w:val="00"/>
    <w:family w:val="auto"/>
    <w:pitch w:val="variable"/>
    <w:sig w:usb0="00007A87" w:usb1="80000000" w:usb2="00000008" w:usb3="00000000" w:csb0="400001FF" w:csb1="FFFF0000"/>
  </w:font>
  <w:font w:name="等线 Light">
    <w:altName w:val="EU-B1"/>
    <w:panose1 w:val="00000000000000000000"/>
    <w:charset w:val="86"/>
    <w:family w:val="auto"/>
    <w:pitch w:val="variable"/>
    <w:sig w:usb0="00000000"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after="160" w:line="278" w:lineRule="auto"/>
    </w:pPr>
    <w:rPr>
      <w:rFonts w:ascii="等线" w:eastAsia="等线" w:cs="Arial"/>
      <w:kern w:val="2"/>
      <w:sz w:val="22"/>
      <w:szCs w:val="24"/>
      <w:lang w:val="en-US" w:eastAsia="zh-CN" w:bidi="ar-SA"/>
    </w:rPr>
  </w:style>
  <w:style w:type="paragraph" w:styleId="1">
    <w:name w:val="heading 1"/>
    <w:basedOn w:val="0"/>
    <w:next w:val="0"/>
    <w:pPr>
      <w:keepNext/>
      <w:keepLines/>
      <w:widowControl w:val="0"/>
      <w:spacing w:before="480" w:after="80"/>
      <w:outlineLvl w:val="0"/>
    </w:pPr>
    <w:rPr>
      <w:rFonts w:ascii="等线 Light" w:eastAsia="等线 Light" w:cs="Times New Roman"/>
      <w:color w:val="0F4761"/>
      <w:sz w:val="48"/>
      <w:szCs w:val="48"/>
    </w:rPr>
  </w:style>
  <w:style w:type="paragraph" w:styleId="2">
    <w:name w:val="heading 2"/>
    <w:basedOn w:val="0"/>
    <w:next w:val="0"/>
    <w:pPr>
      <w:keepNext/>
      <w:keepLines/>
      <w:widowControl w:val="0"/>
      <w:spacing w:before="160" w:after="80"/>
      <w:outlineLvl w:val="1"/>
    </w:pPr>
    <w:rPr>
      <w:rFonts w:ascii="等线 Light" w:eastAsia="等线 Light" w:cs="Times New Roman"/>
      <w:color w:val="0F4761"/>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0F4761"/>
      <w:sz w:val="32"/>
      <w:szCs w:val="32"/>
    </w:rPr>
  </w:style>
  <w:style w:type="paragraph" w:styleId="4">
    <w:name w:val="heading 4"/>
    <w:basedOn w:val="0"/>
    <w:next w:val="0"/>
    <w:pPr>
      <w:keepNext/>
      <w:keepLines/>
      <w:widowControl w:val="0"/>
      <w:spacing w:before="80" w:after="40"/>
      <w:outlineLvl w:val="3"/>
    </w:pPr>
    <w:rPr>
      <w:rFonts w:cs="Times New Roman"/>
      <w:color w:val="0F4761"/>
      <w:sz w:val="28"/>
      <w:szCs w:val="28"/>
    </w:rPr>
  </w:style>
  <w:style w:type="paragraph" w:styleId="5">
    <w:name w:val="heading 5"/>
    <w:basedOn w:val="0"/>
    <w:next w:val="0"/>
    <w:pPr>
      <w:keepNext/>
      <w:keepLines/>
      <w:widowControl w:val="0"/>
      <w:spacing w:before="80" w:after="40"/>
      <w:outlineLvl w:val="4"/>
    </w:pPr>
    <w:rPr>
      <w:rFonts w:cs="Times New Roman"/>
      <w:color w:val="0F4761"/>
      <w:sz w:val="24"/>
    </w:rPr>
  </w:style>
  <w:style w:type="paragraph" w:styleId="6">
    <w:name w:val="heading 6"/>
    <w:basedOn w:val="0"/>
    <w:next w:val="0"/>
    <w:pPr>
      <w:keepNext/>
      <w:keepLines/>
      <w:widowControl w:val="0"/>
      <w:spacing w:before="40" w:after="0"/>
      <w:outlineLvl w:val="5"/>
    </w:pPr>
    <w:rPr>
      <w:rFonts w:cs="Times New Roman"/>
      <w:b/>
      <w:bCs/>
      <w:color w:val="0F4761"/>
    </w:rPr>
  </w:style>
  <w:style w:type="paragraph" w:styleId="7">
    <w:name w:val="heading 7"/>
    <w:basedOn w:val="0"/>
    <w:next w:val="0"/>
    <w:pPr>
      <w:keepNext/>
      <w:keepLines/>
      <w:widowControl w:val="0"/>
      <w:spacing w:before="40" w:after="0"/>
      <w:outlineLvl w:val="6"/>
    </w:pPr>
    <w:rPr>
      <w:rFonts w:cs="Times New Roman"/>
      <w:b/>
      <w:bCs/>
      <w:color w:val="595959"/>
    </w:rPr>
  </w:style>
  <w:style w:type="paragraph" w:styleId="8">
    <w:name w:val="heading 8"/>
    <w:basedOn w:val="0"/>
    <w:next w:val="0"/>
    <w:pPr>
      <w:keepNext/>
      <w:keepLines/>
      <w:widowControl w:val="0"/>
      <w:spacing w:after="0"/>
      <w:outlineLvl w:val="7"/>
    </w:pPr>
    <w:rPr>
      <w:rFonts w:cs="Times New Roman"/>
      <w:color w:val="595959"/>
    </w:rPr>
  </w:style>
  <w:style w:type="paragraph" w:styleId="9">
    <w:name w:val="heading 9"/>
    <w:basedOn w:val="0"/>
    <w:next w:val="0"/>
    <w:pPr>
      <w:keepNext/>
      <w:keepLines/>
      <w:widowControl w:val="0"/>
      <w:spacing w:after="0"/>
      <w:outlineLvl w:val="8"/>
    </w:pPr>
    <w:rPr>
      <w:rFonts w:eastAsia="等线 Light" w:cs="Times New Roman"/>
      <w:color w:val="595959"/>
    </w:rPr>
  </w:style>
  <w:style w:type="character" w:default="1" w:styleId="10">
    <w:name w:val="Default Paragraph Font"/>
  </w:style>
  <w:style w:type="paragraph" w:styleId="15">
    <w:name w:val="Title"/>
    <w:basedOn w:val="0"/>
    <w:next w:val="0"/>
    <w:pPr>
      <w:spacing w:after="80" w:line="240" w:lineRule="auto"/>
      <w:contextualSpacing/>
      <w:jc w:val="center"/>
    </w:pPr>
    <w:rPr>
      <w:rFonts w:ascii="等线 Light" w:eastAsia="等线 Light" w:cs="Times New Roman"/>
      <w:spacing w:val="-10"/>
      <w:kern w:val="28"/>
      <w:sz w:val="56"/>
      <w:szCs w:val="56"/>
    </w:rPr>
  </w:style>
  <w:style w:type="paragraph" w:styleId="16">
    <w:name w:val="Subtitle"/>
    <w:basedOn w:val="0"/>
    <w:next w:val="0"/>
    <w:pPr>
      <w:jc w:val="center"/>
    </w:pPr>
    <w:rPr>
      <w:rFonts w:ascii="等线 Light" w:eastAsia="等线 Light" w:cs="Times New Roman"/>
      <w:color w:val="595959"/>
      <w:spacing w:val="15"/>
      <w:sz w:val="28"/>
      <w:szCs w:val="28"/>
    </w:rPr>
  </w:style>
  <w:style w:type="paragraph" w:customStyle="1" w:styleId="17">
    <w:name w:val="Quote"/>
    <w:basedOn w:val="0"/>
    <w:next w:val="0"/>
    <w:pPr>
      <w:spacing w:before="160"/>
      <w:jc w:val="center"/>
    </w:pPr>
    <w:rPr>
      <w:i/>
      <w:iCs/>
      <w:color w:val="404040"/>
    </w:rPr>
  </w:style>
  <w:style w:type="paragraph" w:customStyle="1" w:styleId="18">
    <w:name w:val="List Paragraph"/>
    <w:basedOn w:val="0"/>
    <w:pPr>
      <w:ind w:left="720"/>
      <w:contextualSpacing/>
    </w:pPr>
  </w:style>
  <w:style w:type="character" w:customStyle="1" w:styleId="19">
    <w:name w:val="Intense Emphasis"/>
    <w:basedOn w:val="10"/>
    <w:rPr>
      <w:i/>
      <w:iCs/>
      <w:color w:val="0F4761"/>
    </w:rPr>
  </w:style>
  <w:style w:type="paragraph" w:customStyle="1" w:styleId="20">
    <w:name w:val="Intense Quote"/>
    <w:basedOn w:val="0"/>
    <w:next w:val="0"/>
    <w:pPr>
      <w:pBdr>
        <w:top w:val="single" w:sz="4" w:space="10" w:color="0F4761"/>
        <w:bottom w:val="single" w:sz="4" w:space="10" w:color="0F4761"/>
      </w:pBdr>
      <w:spacing w:before="360" w:after="360"/>
      <w:ind w:left="864" w:right="864"/>
      <w:jc w:val="center"/>
    </w:pPr>
    <w:rPr>
      <w:i/>
      <w:iCs/>
      <w:color w:val="0F4761"/>
    </w:rPr>
  </w:style>
  <w:style w:type="character" w:customStyle="1" w:styleId="21">
    <w:name w:val="Intense Reference"/>
    <w:basedOn w:val="10"/>
    <w:rPr>
      <w:b/>
      <w:bCs/>
      <w:caps w:val="0"/>
      <w:smallCaps/>
      <w:color w:val="0F4761"/>
      <w:spacing w:val="5"/>
    </w:rPr>
  </w:style>
  <w:style w:type="paragraph" w:styleId="22">
    <w:name w:val="header"/>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footer"/>
    <w:basedOn w:val="0"/>
    <w:pP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181</TotalTime>
  <Application>Yozo_Office</Application>
  <Pages>9</Pages>
  <Words>2378</Words>
  <Characters>2446</Characters>
  <Lines>222</Lines>
  <Paragraphs>126</Paragraphs>
  <CharactersWithSpaces>2459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栋懿 刘</dc:creator>
  <cp:lastModifiedBy>郭龙</cp:lastModifiedBy>
  <cp:revision>4</cp:revision>
  <dcterms:created xsi:type="dcterms:W3CDTF">2026-03-30T02:57:00Z</dcterms:created>
  <dcterms:modified xsi:type="dcterms:W3CDTF">2026-04-27T06:38:31Z</dcterms:modified>
</cp:coreProperties>
</file>