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240" w:lineRule="auto"/>
        <w:ind w:firstLineChars="0" w:firstLine="0"/>
        <w:jc w:val="center"/>
        <w:rPr>
          <w:rFonts w:ascii="Times New Roman" w:eastAsia="宋体" w:cs="Times New Roman" w:hAnsi="Times New Roman"/>
          <w:szCs w:val="32"/>
        </w:rPr>
      </w:pPr>
      <w:bookmarkStart w:id="0" w:name="_Toc30197"/>
      <w:bookmarkStart w:id="1" w:name="_GoBack"/>
      <w:bookmarkEnd w:id="1"/>
      <w:r>
        <w:rPr>
          <w:rFonts w:ascii="Times New Roman" w:eastAsia="宋体" w:cs="Times New Roman" w:hAnsi="Times New Roman"/>
          <w:szCs w:val="32"/>
        </w:rPr>
        <w:t>目录</w:t>
      </w:r>
    </w:p>
    <w:p>
      <w:pPr>
        <w:pStyle w:val="18"/>
        <w:tabs>
          <w:tab w:val="right" w:leader="dot" w:pos="8296"/>
        </w:tabs>
        <w:rPr>
          <w:rFonts w:ascii="等线" w:eastAsia="等线" w:cs="Arial"/>
          <w:sz w:val="21"/>
          <w:szCs w:val="22"/>
        </w:rPr>
      </w:pPr>
      <w:r>
        <w:rPr>
          <w:rFonts w:ascii="Times New Roman" w:cs="Times New Roman" w:hAnsi="Times New Roman"/>
          <w:szCs w:val="32"/>
        </w:rPr>
        <w:fldChar w:fldCharType="begin"/>
      </w:r>
      <w:r>
        <w:rPr>
          <w:rFonts w:ascii="Times New Roman" w:cs="Times New Roman" w:hAnsi="Times New Roman"/>
          <w:szCs w:val="32"/>
        </w:rPr>
        <w:instrText xml:space="preserve">TOC \o "1-1" \h \u </w:instrText>
      </w:r>
      <w:r>
        <w:rPr>
          <w:rFonts w:ascii="Times New Roman" w:cs="Times New Roman" w:hAnsi="Times New Roman"/>
          <w:szCs w:val="32"/>
        </w:rPr>
        <w:fldChar w:fldCharType="separate"/>
      </w:r>
      <w:r>
        <w:fldChar w:fldCharType="begin"/>
      </w:r>
      <w:r>
        <w:instrText>Hyperlink \l "_Toc239069555"</w:instrText>
      </w:r>
      <w:r>
        <w:fldChar w:fldCharType="separate"/>
      </w:r>
      <w:r>
        <w:rPr>
          <w:rFonts w:ascii="Times New Roman" w:hAnsi="Times New Roman"/>
        </w:rPr>
        <w:t>【光伏产业信息】</w:t>
      </w:r>
      <w:r>
        <w:tab/>
      </w:r>
      <w:r>
        <w:fldChar w:fldCharType="begin"/>
      </w:r>
      <w:r>
        <w:instrText xml:space="preserve"> PAGEREF _Toc239069555 \h </w:instrText>
      </w:r>
      <w:r>
        <w:fldChar w:fldCharType="separate"/>
      </w:r>
      <w:r>
        <w:t>2</w:t>
      </w:r>
      <w:r>
        <w:fldChar w:fldCharType="end"/>
      </w:r>
      <w:r>
        <w:fldChar w:fldCharType="end"/>
      </w:r>
    </w:p>
    <w:p>
      <w:pPr>
        <w:pStyle w:val="18"/>
        <w:tabs>
          <w:tab w:val="right" w:leader="dot" w:pos="8296"/>
        </w:tabs>
        <w:rPr>
          <w:rFonts w:ascii="等线" w:eastAsia="等线" w:cs="Arial"/>
          <w:sz w:val="21"/>
          <w:szCs w:val="22"/>
        </w:rPr>
      </w:pPr>
      <w:r>
        <w:fldChar w:fldCharType="begin"/>
      </w:r>
      <w:r>
        <w:instrText>Hyperlink \l "_Toc239069556"</w:instrText>
      </w:r>
      <w:r>
        <w:fldChar w:fldCharType="separate"/>
      </w:r>
      <w:r>
        <w:rPr>
          <w:rFonts w:ascii="Times New Roman" w:hAnsi="Times New Roman"/>
        </w:rPr>
        <w:t>Apollo Power称轻量化柔性组件获得首创认证</w:t>
      </w:r>
      <w:r>
        <w:tab/>
      </w:r>
      <w:r>
        <w:fldChar w:fldCharType="begin"/>
      </w:r>
      <w:r>
        <w:instrText xml:space="preserve"> PAGEREF _Toc239069556 \h </w:instrText>
      </w:r>
      <w:r>
        <w:fldChar w:fldCharType="separate"/>
      </w:r>
      <w:r>
        <w:t>2</w:t>
      </w:r>
      <w:r>
        <w:fldChar w:fldCharType="end"/>
      </w:r>
      <w:r>
        <w:fldChar w:fldCharType="end"/>
      </w:r>
    </w:p>
    <w:p>
      <w:pPr>
        <w:pStyle w:val="18"/>
        <w:tabs>
          <w:tab w:val="right" w:leader="dot" w:pos="8296"/>
        </w:tabs>
        <w:rPr>
          <w:rFonts w:ascii="等线" w:eastAsia="等线" w:cs="Arial"/>
          <w:sz w:val="21"/>
          <w:szCs w:val="22"/>
        </w:rPr>
      </w:pPr>
      <w:r>
        <w:fldChar w:fldCharType="begin"/>
      </w:r>
      <w:r>
        <w:instrText>Hyperlink \l "_Toc239069558"</w:instrText>
      </w:r>
      <w:r>
        <w:fldChar w:fldCharType="separate"/>
      </w:r>
      <w:r>
        <w:t>美国年逆变器制造产能有望于2027年突破100吉瓦</w:t>
        <w:tab/>
      </w:r>
      <w:r>
        <w:fldChar w:fldCharType="begin"/>
      </w:r>
      <w:r>
        <w:instrText xml:space="preserve"> PAGEREF _Toc239069558 \h </w:instrText>
      </w:r>
      <w:r>
        <w:fldChar w:fldCharType="separate"/>
      </w:r>
      <w:r>
        <w:t>3</w:t>
      </w:r>
      <w:r>
        <w:fldChar w:fldCharType="end"/>
      </w:r>
      <w:r>
        <w:fldChar w:fldCharType="end"/>
      </w:r>
    </w:p>
    <w:p>
      <w:pPr>
        <w:pStyle w:val="1"/>
        <w:spacing w:beforeAutospacing="0" w:afterAutospacing="0"/>
        <w:ind w:firstLine="964"/>
        <w:rPr>
          <w:rFonts w:ascii="Times New Roman" w:hAnsi="Times New Roman"/>
          <w:sz w:val="32"/>
          <w:szCs w:val="32"/>
        </w:rPr>
      </w:pPr>
      <w:r>
        <w:rPr>
          <w:rFonts w:ascii="Times New Roman" w:hAnsi="Times New Roman"/>
          <w:szCs w:val="32"/>
        </w:rPr>
        <w:fldChar w:fldCharType="end"/>
      </w:r>
    </w:p>
    <w:p>
      <w:pPr>
        <w:pStyle w:val="1"/>
        <w:ind w:firstLine="643"/>
        <w:rPr>
          <w:rFonts w:ascii="Times New Roman" w:hAnsi="Times New Roman"/>
          <w:sz w:val="32"/>
          <w:szCs w:val="32"/>
        </w:rPr>
        <w:sectPr>
          <w:footerReference w:type="default" r:id="rId2"/>
          <w:pgSz w:w="11906" w:h="16838"/>
          <w:pgMar w:top="1440" w:right="1800" w:bottom="1440" w:left="1800" w:header="851" w:footer="992" w:gutter="0"/>
          <w:docGrid w:type="lines" w:linePitch="312" w:charSpace="0"/>
        </w:sectPr>
      </w:pPr>
    </w:p>
    <w:p>
      <w:pPr>
        <w:pStyle w:val="1"/>
        <w:rPr>
          <w:rFonts w:ascii="Times New Roman" w:hAnsi="Times New Roman"/>
          <w:sz w:val="32"/>
          <w:szCs w:val="32"/>
        </w:rPr>
      </w:pPr>
      <w:bookmarkStart w:id="2" w:name="_Toc8245"/>
      <w:bookmarkStart w:id="3" w:name="_Toc239069555"/>
      <w:bookmarkEnd w:id="0"/>
      <w:r>
        <w:rPr>
          <w:rFonts w:ascii="Times New Roman" w:hAnsi="Times New Roman"/>
          <w:sz w:val="32"/>
          <w:szCs w:val="32"/>
        </w:rPr>
        <w:t>【光伏产业信息】</w:t>
      </w:r>
      <w:bookmarkEnd w:id="2"/>
      <w:bookmarkEnd w:id="3"/>
    </w:p>
    <w:p>
      <w:pPr>
        <w:pStyle w:val="1"/>
        <w:jc w:val="center"/>
        <w:rPr>
          <w:rFonts w:ascii="Times New Roman" w:hAnsi="Times New Roman"/>
        </w:rPr>
      </w:pPr>
      <w:bookmarkStart w:id="4" w:name="_Toc239069556"/>
      <w:r>
        <w:rPr>
          <w:rFonts w:ascii="Times New Roman" w:hAnsi="Times New Roman"/>
        </w:rPr>
        <w:t>Apollo Power称轻量化柔性组件</w:t>
      </w:r>
      <w:bookmarkEnd w:id="4"/>
    </w:p>
    <w:p>
      <w:pPr>
        <w:pStyle w:val="1"/>
        <w:jc w:val="center"/>
        <w:rPr>
          <w:rFonts w:ascii="Times New Roman" w:hAnsi="Times New Roman"/>
        </w:rPr>
      </w:pPr>
      <w:bookmarkStart w:id="5" w:name="_Toc314"/>
      <w:bookmarkStart w:id="6" w:name="_Toc239069557"/>
      <w:r>
        <w:rPr>
          <w:rFonts w:ascii="Times New Roman" w:hAnsi="Times New Roman"/>
        </w:rPr>
        <w:t>获得首创认证</w:t>
      </w:r>
      <w:bookmarkEnd w:id="5"/>
      <w:bookmarkEnd w:id="6"/>
    </w:p>
    <w:p>
      <w:pPr>
        <w:ind w:firstLineChars="0" w:firstLine="0"/>
        <w:jc w:val="center"/>
        <w:rPr>
          <w:rFonts w:ascii="Times New Roman" w:cs="Times New Roman" w:hAnsi="Times New Roman"/>
          <w:sz w:val="24"/>
        </w:rPr>
      </w:pPr>
      <w:r>
        <w:rPr>
          <w:rFonts w:ascii="Times New Roman" w:cs="Times New Roman" w:hAnsi="Times New Roman"/>
          <w:sz w:val="24"/>
        </w:rPr>
        <w:t>日期：2026年8月10日  来源：PV-MAGAZINE</w:t>
      </w:r>
    </w:p>
    <w:p>
      <w:pPr>
        <w:ind w:firstLineChars="0" w:firstLine="0"/>
        <w:jc w:val="center"/>
        <w:rPr>
          <w:rFonts w:ascii="Times New Roman" w:cs="Times New Roman" w:hAnsi="Times New Roman"/>
          <w:sz w:val="24"/>
        </w:rPr>
      </w:pPr>
      <w:r>
        <w:rPr>
          <w:rFonts w:ascii="Times New Roman" w:cs="Times New Roman" w:hAnsi="Times New Roman"/>
          <w:sz w:val="24"/>
        </w:rPr>
        <w:t>https://www.pv-magazine-china.com</w:t>
      </w:r>
    </w:p>
    <w:p>
      <w:pPr>
        <w:rPr>
          <w:rFonts w:ascii="Times New Roman" w:cs="Times New Roman" w:hAnsi="Times New Roman"/>
          <w:szCs w:val="32"/>
        </w:rPr>
      </w:pPr>
      <w:r>
        <w:rPr>
          <w:rFonts w:ascii="Times New Roman" w:cs="Times New Roman" w:hAnsi="Times New Roman"/>
          <w:szCs w:val="32"/>
        </w:rPr>
        <w:t>以色列轻量化组件制造商Apollo Power r（阿波罗电力）宣布，其新一代柔性轻量化光伏组件——Panda Plus取得了一项认证首创，该组件已通过认证实验室的A级防火认证。防火性能的实现得益于改良材料及一项新的制造专利，Apollo Power指出让聚合物基组件经受与玻璃面板相同的测试体系——包括1000小时湿热循环、加速老化试验和冰雹测试——要求极为严苛。</w:t>
      </w:r>
    </w:p>
    <w:p>
      <w:pPr>
        <w:rPr>
          <w:rFonts w:ascii="Times New Roman" w:cs="Times New Roman" w:hAnsi="Times New Roman"/>
          <w:szCs w:val="32"/>
        </w:rPr>
      </w:pPr>
      <w:r>
        <w:rPr>
          <w:rFonts w:ascii="Times New Roman" w:cs="Times New Roman" w:hAnsi="Times New Roman"/>
          <w:szCs w:val="32"/>
        </w:rPr>
        <w:t>Panda Plus于2026年6月发布，基于同一全柔性72片电池（6×12）平台提供三种规格：白色和黑色两款无框组件用于粘胶安装，以及一款有框版本用于标准支架。有框选项是为回应客户需求而非技术展示，部分客户要求更易更换的方案，以便在不破坏粘胶的情况下移动或更换面板。</w:t>
      </w:r>
    </w:p>
    <w:p>
      <w:pPr>
        <w:rPr>
          <w:rFonts w:ascii="Times New Roman" w:cs="Times New Roman" w:hAnsi="Times New Roman"/>
          <w:szCs w:val="32"/>
        </w:rPr>
      </w:pPr>
    </w:p>
    <w:p>
      <w:pPr>
        <w:pStyle w:val="1"/>
        <w:jc w:val="center"/>
      </w:pPr>
      <w:bookmarkStart w:id="7" w:name="_Toc239069558"/>
    </w:p>
    <w:p>
      <w:pPr>
        <w:pStyle w:val="1"/>
        <w:jc w:val="center"/>
      </w:pPr>
    </w:p>
    <w:p>
      <w:pPr>
        <w:pStyle w:val="1"/>
        <w:jc w:val="center"/>
      </w:pPr>
      <w:r>
        <w:t>美国年逆变器制造产能有望于2027年突破100吉瓦</w:t>
      </w:r>
      <w:bookmarkEnd w:id="7"/>
    </w:p>
    <w:p>
      <w:pPr>
        <w:ind w:firstLineChars="0" w:firstLine="0"/>
        <w:jc w:val="center"/>
        <w:rPr>
          <w:rFonts w:ascii="Times New Roman" w:cs="Times New Roman" w:hAnsi="Times New Roman"/>
          <w:sz w:val="24"/>
        </w:rPr>
      </w:pPr>
      <w:r>
        <w:rPr>
          <w:rFonts w:ascii="Times New Roman" w:cs="Times New Roman" w:hAnsi="Times New Roman"/>
          <w:sz w:val="24"/>
        </w:rPr>
        <w:t>日期：2026年8月12日  来源：PV-MAGAZINE</w:t>
      </w:r>
    </w:p>
    <w:p>
      <w:pPr>
        <w:ind w:firstLineChars="0" w:firstLine="0"/>
        <w:jc w:val="center"/>
        <w:rPr>
          <w:rFonts w:ascii="Times New Roman" w:cs="Times New Roman" w:hAnsi="Times New Roman"/>
          <w:sz w:val="24"/>
        </w:rPr>
      </w:pPr>
      <w:r>
        <w:rPr>
          <w:rFonts w:ascii="Times New Roman" w:cs="Times New Roman" w:hAnsi="Times New Roman"/>
          <w:sz w:val="24"/>
        </w:rPr>
        <w:t>https://www.pv-magazine-china.com</w:t>
      </w:r>
    </w:p>
    <w:p>
      <w:pPr>
        <w:rPr>
          <w:rFonts w:ascii="Times New Roman" w:cs="Times New Roman" w:hAnsi="Times New Roman"/>
          <w:szCs w:val="32"/>
        </w:rPr>
      </w:pPr>
      <w:r>
        <w:rPr>
          <w:rFonts w:ascii="Times New Roman" w:cs="Times New Roman" w:hAnsi="Times New Roman"/>
          <w:szCs w:val="32"/>
        </w:rPr>
        <w:t>美国联邦通信委员会（FCC）近期将外国产功率逆变器列入其“受控清单”的决定，正促使美国光伏和储能市场加速向本土制造设备转型。伍德麦肯兹周五发布的分析显示，美国业界已具备较强的应对能力，制造商已公布的计划表明，到2027年底，美国光伏逆变器和功率转换系统（PCS）的年产能有望突破100 GWac。</w:t>
      </w:r>
    </w:p>
    <w:p>
      <w:pPr>
        <w:rPr>
          <w:rFonts w:ascii="Times New Roman" w:cs="Times New Roman" w:hAnsi="Times New Roman"/>
          <w:szCs w:val="32"/>
        </w:rPr>
      </w:pPr>
      <w:r>
        <w:rPr>
          <w:rFonts w:ascii="Times New Roman" w:cs="Times New Roman" w:hAnsi="Times New Roman"/>
          <w:szCs w:val="32"/>
        </w:rPr>
        <w:t>7月28日，FCC将外国产功率逆变器列入被视为对国家安全构成风险的设备清单。该决定禁止对受FCC设备授权程序约束的新型外国产设备予以授权，从而实质上限制了其在美国的进口、销售和营销。然而，该规定的适用范围仍存在技术性疑问。目前的定义聚焦于“功率逆变器”以及特定的无线通信和远程控制功能。这使得该规则将如何适用于某些类别的公用事业级逆变器存在不确定性，尤其是可通过有线连接运行的光伏电站集中式逆变器。伍德麦肯兹表示，FCC未来的指导文件对于界定哪些设备属于该监管范围至关重要。</w:t>
      </w:r>
    </w:p>
    <w:p>
      <w:pPr>
        <w:rPr>
          <w:rFonts w:ascii="Times New Roman" w:cs="Times New Roman" w:hAnsi="Times New Roman"/>
          <w:szCs w:val="32"/>
        </w:rPr>
      </w:pPr>
      <w:r>
        <w:rPr>
          <w:rFonts w:ascii="Times New Roman" w:cs="Times New Roman" w:hAnsi="Times New Roman"/>
          <w:szCs w:val="32"/>
        </w:rPr>
        <w:t>鉴于美国市场对外国制造设备的依赖，此项措施的潜在影响十分显著。过去十年间，超过200 GWac的光伏逆变器供应给了美国工商业及公用事业级市场。其中逾90%为进口设备，包括来自中国制造商的超过70吉瓦。据伍德麦肯兹统计，2024年和2025年，中国供应商占美国逆变器市场近50%的份额。</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方正仿宋_GBK">
    <w:panose1 w:val="00000000000000000000"/>
    <w:charset w:val="86"/>
    <w:family w:val="script"/>
    <w:pitch w:val="variable"/>
    <w:sig w:usb0="00000001" w:usb1="080E0000" w:usb2="00000010" w:usb3="00000000" w:csb0="00040000" w:csb1="00000000"/>
  </w:font>
  <w:font w:name="方正小标宋_GBK">
    <w:panose1 w:val="00000000000000000000"/>
    <w:charset w:val="86"/>
    <w:family w:val="script"/>
    <w:pitch w:val="variable"/>
    <w:sig w:usb0="00000001" w:usb1="080E0000" w:usb2="00000010" w:usb3="00000000" w:csb0="00040000" w:csb1="00000000"/>
  </w:font>
  <w:font w:name="Calibri Light">
    <w:panose1 w:val="00000000000000000000"/>
    <w:charset w:val="00"/>
    <w:family w:val="swiss"/>
    <w:pitch w:val="variable"/>
    <w:sig w:usb0="A00002EF" w:usb1="4000207B" w:usb2="00000000" w:usb3="00000000" w:csb0="0000019F" w:csb1="00000000"/>
  </w:font>
  <w:font w:name="方正楷体_GBK">
    <w:panose1 w:val="00000000000000000000"/>
    <w:charset w:val="86"/>
    <w:family w:val="script"/>
    <w:pitch w:val="variable"/>
    <w:sig w:usb0="00000001" w:usb1="080E0000" w:usb2="00000010" w:usb3="00000000" w:csb0="00040000" w:csb1="00000000"/>
  </w:font>
  <w:font w:name="黑体">
    <w:altName w:val="SimHei"/>
    <w:panose1 w:val="02010600030101010101"/>
    <w:charset w:val="86"/>
    <w:family w:val="modern"/>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pPr>
    <w:r>
      <mc:AlternateContent>
        <mc:Choice Requires="wps">
          <w:drawing>
            <wp:anchor distT="0" distB="0" distL="114300" distR="114300" simplePos="0" relativeHeight="10" behindDoc="0" locked="0" layoutInCell="1" hidden="0" allowOverlap="1">
              <wp:simplePos x="0" y="0"/>
              <wp:positionH relativeFrom="margin">
                <wp:align>center</wp:align>
              </wp:positionH>
              <wp:positionV relativeFrom="paragraph">
                <wp:posOffset>0</wp:posOffset>
              </wp:positionV>
              <wp:extent cx="509905" cy="355599"/>
              <wp:effectExtent l="0" t="0" r="0" b="0"/>
              <wp:wrapNone/>
              <wp:docPr id="1" name="文本框 1"/>
              <wp:cNvGraphicFramePr>
                <a:graphicFrameLocks noChangeAspect="0"/>
              </wp:cNvGraphicFramePr>
              <a:graphic>
                <a:graphicData uri="http://schemas.microsoft.com/office/word/2010/wordprocessingShape">
                  <wps:wsp>
                    <wps:cNvSpPr/>
                    <wps:spPr>
                      <a:xfrm rot="0">
                        <a:off x="0" y="0"/>
                        <a:ext cx="509905" cy="355599"/>
                      </a:xfrm>
                      <a:prstGeom prst="rect"/>
                      <a:noFill/>
                      <a:ln w="6350" cmpd="sng" cap="flat">
                        <a:noFill/>
                        <a:prstDash val="solid"/>
                        <a:round/>
                      </a:ln>
                    </wps:spPr>
                    <wps:txbx id="2">
                      <w:txbxContent>
                        <w:p>
                          <w:pPr>
                            <w:pStyle w:val="16"/>
                            <w:tabs>
                              <w:tab w:val="center" w:pos="4153"/>
                              <w:tab w:val="right" w:pos="8306"/>
                            </w:tabs>
                            <w:rPr>
                              <w:sz w:val="32"/>
                              <w:szCs w:val="32"/>
                            </w:rPr>
                          </w:pP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p>
                      </w:txbxContent>
                    </wps:txbx>
                    <wps:bodyPr vert="horz" wrap="none" lIns="0" tIns="0" rIns="0" bIns="0" anchor="t" anchorCtr="0" upright="0">
                      <a:spAutoFit/>
                    </wps:bodyPr>
                  </wps:wsp>
                </a:graphicData>
              </a:graphic>
            </wp:anchor>
          </w:drawing>
        </mc:Choice>
        <mc:Fallback>
          <w:pict>
            <v:rect type="#_x0000_t1" id="文本框 1 3" o:spid="_x0000_s3" filled="f" stroked="f" strokeweight="0.5pt" style="position:absolute;margin-left:0.0pt;margin-top:0.0pt;width:40.15pt;height:27.999998pt;z-index:10;mso-position-horizontal:center;mso-position-horizontal-relative:margin;mso-position-vertical:absolute;mso-wrap-style:none;">
              <v:stroke color="#000000"/>
              <v:textbox id="848" inset="0mm,0mm,0mm,0mm" o:insetmode="custom" style="layout-flow:horizontal;v-text-anchor:top;mso-fit-shape-to-text:t;">
                <w:txbxContent>
                  <w:p>
                    <w:pPr>
                      <w:pStyle w:val="16"/>
                      <w:tabs>
                        <w:tab w:val="center" w:pos="4153"/>
                        <w:tab w:val="right" w:pos="8306"/>
                      </w:tabs>
                      <w:rPr>
                        <w:sz w:val="32"/>
                        <w:szCs w:val="32"/>
                      </w:rPr>
                    </w:pP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p>
                </w:txbxContent>
              </v:textbox>
            </v:rect>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trackRevisions/>
  <w:defaultTabStop w:val="420"/>
  <w:drawingGridHorizontalSpacing w:val="160"/>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DUyNzVkMDI3MWU4NzNkYjY3YzMxNmUxNDE2YzVlNz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560" w:lineRule="exact"/>
      <w:ind w:firstLineChars="200" w:firstLine="200"/>
      <w:jc w:val="both"/>
    </w:pPr>
    <w:rPr>
      <w:rFonts w:ascii="Calibri" w:eastAsia="方正仿宋_GBK" w:cs="Arial" w:hAnsi="Calibri"/>
      <w:kern w:val="2"/>
      <w:sz w:val="32"/>
      <w:szCs w:val="24"/>
      <w:lang w:val="en-US" w:eastAsia="zh-CN" w:bidi="ar-SA"/>
    </w:rPr>
  </w:style>
  <w:style w:type="paragraph" w:styleId="1">
    <w:name w:val="heading 1"/>
    <w:basedOn w:val="0"/>
    <w:pPr>
      <w:spacing w:beforeAutospacing="1" w:afterAutospacing="1" w:line="800" w:lineRule="exact"/>
      <w:ind w:firstLineChars="0" w:firstLine="0"/>
      <w:outlineLvl w:val="0"/>
    </w:pPr>
    <w:rPr>
      <w:rFonts w:ascii="宋体" w:eastAsia="方正小标宋_GBK" w:cs="Times New Roman" w:hAnsi="宋体"/>
      <w:bCs/>
      <w:kern w:val="44"/>
      <w:sz w:val="44"/>
      <w:szCs w:val="48"/>
    </w:rPr>
  </w:style>
  <w:style w:type="paragraph" w:styleId="2">
    <w:name w:val="heading 2"/>
    <w:basedOn w:val="0"/>
    <w:next w:val="0"/>
    <w:pPr>
      <w:keepNext/>
      <w:keepLines/>
      <w:widowControl w:val="0"/>
      <w:jc w:val="center"/>
      <w:outlineLvl w:val="1"/>
    </w:pPr>
    <w:rPr>
      <w:rFonts w:ascii="Calibri Light" w:eastAsia="方正楷体_GBK" w:cs="Times New Roman" w:hAnsi="Calibri Light"/>
      <w:b/>
      <w:bCs/>
      <w:szCs w:val="32"/>
    </w:rPr>
  </w:style>
  <w:style w:type="paragraph" w:styleId="3">
    <w:name w:val="heading 3"/>
    <w:basedOn w:val="0"/>
    <w:next w:val="0"/>
    <w:pPr>
      <w:spacing w:beforeAutospacing="1" w:afterAutospacing="1"/>
      <w:jc w:val="left"/>
      <w:outlineLvl w:val="2"/>
    </w:pPr>
    <w:rPr>
      <w:rFonts w:ascii="宋体" w:eastAsia="宋体" w:cs="Times New Roman"/>
      <w:b/>
      <w:bCs/>
      <w:kern w:val="0"/>
      <w:sz w:val="27"/>
      <w:szCs w:val="27"/>
    </w:rPr>
  </w:style>
  <w:style w:type="paragraph" w:styleId="4">
    <w:name w:val="heading 4"/>
    <w:basedOn w:val="0"/>
    <w:next w:val="0"/>
    <w:pPr>
      <w:keepNext/>
      <w:keepLines/>
      <w:widowControl w:val="0"/>
      <w:spacing w:line="372" w:lineRule="auto"/>
      <w:outlineLvl w:val="3"/>
    </w:pPr>
    <w:rPr>
      <w:rFonts w:ascii="Arial" w:eastAsia="黑体" w:hAnsi="Arial"/>
      <w:b/>
      <w:sz w:val="28"/>
    </w:rPr>
  </w:style>
  <w:style w:type="character" w:default="1" w:styleId="10">
    <w:name w:val="Default Paragraph Font"/>
  </w:style>
  <w:style w:type="paragraph" w:styleId="15">
    <w:name w:val="Balloon Text"/>
    <w:basedOn w:val="0"/>
    <w:pPr>
      <w:spacing w:line="240" w:lineRule="auto"/>
    </w:pPr>
    <w:rPr>
      <w:sz w:val="18"/>
      <w:szCs w:val="18"/>
    </w:rPr>
  </w:style>
  <w:style w:type="paragraph" w:styleId="16">
    <w:name w:val="footer"/>
    <w:basedOn w:val="0"/>
    <w:pPr>
      <w:tabs>
        <w:tab w:val="center" w:pos="4153"/>
        <w:tab w:val="right" w:pos="8306"/>
      </w:tabs>
      <w:snapToGrid w:val="0"/>
      <w:jc w:val="left"/>
    </w:pPr>
    <w:rPr>
      <w:sz w:val="18"/>
    </w:rPr>
  </w:style>
  <w:style w:type="paragraph" w:styleId="17">
    <w:name w:val="header"/>
    <w:basedOn w:val="0"/>
    <w:pPr>
      <w:tabs>
        <w:tab w:val="center" w:pos="4153"/>
        <w:tab w:val="right" w:pos="8306"/>
      </w:tabs>
      <w:snapToGrid w:val="0"/>
      <w:spacing w:line="240" w:lineRule="auto"/>
    </w:pPr>
    <w:rPr>
      <w:sz w:val="18"/>
    </w:rPr>
  </w:style>
  <w:style w:type="paragraph" w:styleId="18">
    <w:name w:val="toc 1"/>
    <w:basedOn w:val="0"/>
    <w:next w:val="0"/>
  </w:style>
  <w:style w:type="paragraph" w:styleId="19">
    <w:name w:val="Normal (Web)"/>
    <w:basedOn w:val="0"/>
    <w:pPr>
      <w:spacing w:beforeAutospacing="1" w:afterAutospacing="1"/>
      <w:jc w:val="left"/>
    </w:pPr>
    <w:rPr>
      <w:rFonts w:cs="Times New Roman"/>
      <w:kern w:val="0"/>
      <w:sz w:val="24"/>
    </w:rPr>
  </w:style>
  <w:style w:type="character" w:styleId="20">
    <w:name w:val="Strong"/>
    <w:basedOn w:val="10"/>
    <w:rPr>
      <w:b/>
    </w:rPr>
  </w:style>
  <w:style w:type="character" w:styleId="21">
    <w:name w:val="Emphasis"/>
    <w:basedOn w:val="10"/>
    <w:rPr>
      <w:i/>
    </w:rPr>
  </w:style>
  <w:style w:type="character" w:styleId="22">
    <w:name w:val="Hyperlink"/>
    <w:basedOn w:val="10"/>
    <w:rPr>
      <w:color w:val="0000FF"/>
      <w:u w:val="single"/>
    </w:rPr>
  </w:style>
  <w:style w:type="paragraph" w:customStyle="1" w:styleId="23">
    <w:name w:val="WPSOffice手动目录 1"/>
    <w:rPr>
      <w:rFonts w:ascii="Calibri" w:eastAsia="宋体" w:cs="Arial" w:hAnsi="Calibri"/>
      <w:lang w:val="en-US" w:eastAsia="zh-CN" w:bidi="ar-SA"/>
    </w:rPr>
  </w:style>
  <w:style w:type="character" w:customStyle="1" w:styleId="24">
    <w:name w:val="不明显强调1"/>
    <w:basedOn w:val="10"/>
    <w:rPr>
      <w:i/>
      <w:iCs/>
      <w:color w:val="7F7F7F"/>
    </w:rPr>
  </w:style>
  <w:style w:type="character" w:customStyle="1" w:styleId="25">
    <w:name w:val="item"/>
    <w:basedOn w:val="10"/>
  </w:style>
  <w:style w:type="character" w:customStyle="1" w:styleId="26">
    <w:name w:val="txt"/>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Application>
  <Pages>4</Pages>
  <Words>875</Words>
  <Characters>1078</Characters>
  <Lines>50</Lines>
  <Paragraphs>17</Paragraphs>
  <CharactersWithSpaces>1093</CharactersWithSpaces>
  <Company>Organization</Company>
</Properties>
</file>

<file path=docProps/core.xml><?xml version="1.0" encoding="utf-8"?>
<cp:coreProperties xmlns:cp="http://schemas.openxmlformats.org/package/2006/metadata/core-properties" xmlns:dc="http://purl.org/dc/elements/1.1/" xmlns:dcterms="http://purl.org/dc/terms/" xmlns:xsi="http://www.w3.org/2001/XMLSchema-instance">
  <dc:creator>86189</dc:creator>
  <cp:lastModifiedBy>申德生</cp:lastModifiedBy>
  <cp:revision>3</cp:revision>
  <dcterms:created xsi:type="dcterms:W3CDTF">2026-08-14T06:26:00Z</dcterms:created>
  <dcterms:modified xsi:type="dcterms:W3CDTF">2026-08-31T10:21:24Z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6C2CA632998A4F1397B652BBBE79CB37_13</vt:lpwstr>
  </property>
  <property fmtid="{D5CDD505-2E9C-101B-9397-08002B2CF9AE}" pid="4" name="KSOTemplateDocerSaveRecord">
    <vt:lpwstr>eyJoZGlkIjoiYzczNTc4M2E4NGU3N2ZlY2I0MjkwODQ4MGNlMzdmODgiLCJ1c2VySWQiOiI2OTc5MDIifQ==</vt:lpwstr>
  </property>
</Properties>
</file>