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240" w:lineRule="auto"/>
        <w:ind w:firstLineChars="0" w:firstLine="0"/>
        <w:jc w:val="center"/>
        <w:rPr>
          <w:rFonts w:ascii="Times New Roman" w:eastAsia="宋体" w:cs="Times New Roman" w:hAnsi="Times New Roman"/>
          <w:szCs w:val="32"/>
        </w:rPr>
      </w:pPr>
      <w:bookmarkStart w:id="0" w:name="_Toc30197"/>
      <w:bookmarkStart w:id="1" w:name="_GoBack"/>
      <w:bookmarkEnd w:id="1"/>
      <w:r>
        <w:rPr>
          <w:rFonts w:ascii="Times New Roman" w:eastAsia="宋体" w:cs="Times New Roman" w:hAnsi="Times New Roman"/>
          <w:szCs w:val="32"/>
        </w:rPr>
        <w:t>目录</w:t>
      </w:r>
    </w:p>
    <w:p>
      <w:pPr>
        <w:pStyle w:val="18"/>
        <w:tabs>
          <w:tab w:val="right" w:leader="dot" w:pos="8296"/>
        </w:tabs>
        <w:rPr>
          <w:rFonts w:eastAsia="宋体"/>
          <w:sz w:val="21"/>
          <w:szCs w:val="22"/>
        </w:rPr>
      </w:pPr>
      <w:r>
        <w:rPr>
          <w:rFonts w:ascii="Times New Roman" w:cs="Times New Roman" w:hAnsi="Times New Roman"/>
          <w:szCs w:val="32"/>
        </w:rPr>
        <w:fldChar w:fldCharType="begin"/>
      </w:r>
      <w:r>
        <w:rPr>
          <w:rFonts w:ascii="Times New Roman" w:cs="Times New Roman" w:hAnsi="Times New Roman"/>
          <w:szCs w:val="32"/>
        </w:rPr>
        <w:instrText xml:space="preserve">TOC \o "1-1" \h \u </w:instrText>
      </w:r>
      <w:r>
        <w:rPr>
          <w:rFonts w:ascii="Times New Roman" w:cs="Times New Roman" w:hAnsi="Times New Roman"/>
          <w:szCs w:val="32"/>
        </w:rPr>
        <w:fldChar w:fldCharType="separate"/>
      </w:r>
      <w:r>
        <w:fldChar w:fldCharType="begin"/>
      </w:r>
      <w:r>
        <w:instrText>Hyperlink \l "_Toc237609959"</w:instrText>
      </w:r>
      <w:r>
        <w:fldChar w:fldCharType="separate"/>
      </w:r>
      <w:r>
        <w:rPr>
          <w:rFonts w:ascii="Times New Roman" w:hAnsi="Times New Roman" w:hint="eastAsia"/>
        </w:rPr>
        <w:t>【光伏贸易措施】</w:t>
      </w:r>
      <w:r>
        <w:tab/>
      </w:r>
      <w:r>
        <w:fldChar w:fldCharType="begin"/>
      </w:r>
      <w:r>
        <w:instrText xml:space="preserve"> PAGEREF _Toc237609959 \h </w:instrText>
      </w:r>
      <w:r>
        <w:fldChar w:fldCharType="separate"/>
      </w:r>
      <w:r>
        <w:t>2</w:t>
      </w:r>
      <w:r>
        <w:fldChar w:fldCharType="end"/>
      </w:r>
      <w:r>
        <w:fldChar w:fldCharType="end"/>
      </w:r>
    </w:p>
    <w:p>
      <w:pPr>
        <w:pStyle w:val="18"/>
        <w:tabs>
          <w:tab w:val="right" w:leader="dot" w:pos="8296"/>
        </w:tabs>
        <w:rPr>
          <w:rFonts w:eastAsia="宋体"/>
          <w:sz w:val="21"/>
          <w:szCs w:val="22"/>
        </w:rPr>
      </w:pPr>
      <w:r>
        <w:fldChar w:fldCharType="begin"/>
      </w:r>
      <w:r>
        <w:instrText>Hyperlink \l "_Toc237609960"</w:instrText>
      </w:r>
      <w:r>
        <w:fldChar w:fldCharType="separate"/>
      </w:r>
      <w:r>
        <w:rPr>
          <w:rFonts w:hint="eastAsia"/>
        </w:rPr>
        <w:t>商务部：对美系列涉华消极措施，实施反制！</w:t>
      </w:r>
      <w:r>
        <w:tab/>
      </w:r>
      <w:r>
        <w:fldChar w:fldCharType="begin"/>
      </w:r>
      <w:r>
        <w:instrText xml:space="preserve"> PAGEREF _Toc237609960 \h </w:instrText>
      </w:r>
      <w:r>
        <w:fldChar w:fldCharType="separate"/>
      </w:r>
      <w:r>
        <w:t>2</w:t>
      </w:r>
      <w:r>
        <w:fldChar w:fldCharType="end"/>
      </w:r>
      <w:r>
        <w:fldChar w:fldCharType="end"/>
      </w:r>
    </w:p>
    <w:p>
      <w:pPr>
        <w:pStyle w:val="18"/>
        <w:tabs>
          <w:tab w:val="right" w:leader="dot" w:pos="8296"/>
        </w:tabs>
        <w:rPr>
          <w:rFonts w:eastAsia="宋体"/>
          <w:sz w:val="21"/>
          <w:szCs w:val="22"/>
        </w:rPr>
      </w:pPr>
      <w:r>
        <w:fldChar w:fldCharType="begin"/>
      </w:r>
      <w:r>
        <w:instrText>Hyperlink \l "_Toc237609961"</w:instrText>
      </w:r>
      <w:r>
        <w:fldChar w:fldCharType="separate"/>
      </w:r>
      <w:r>
        <w:rPr>
          <w:rFonts w:hint="eastAsia"/>
        </w:rPr>
        <w:t>美国禁止外国产太阳能逆变器</w:t>
      </w:r>
      <w:r>
        <w:tab/>
      </w:r>
      <w:r>
        <w:fldChar w:fldCharType="begin"/>
      </w:r>
      <w:r>
        <w:instrText xml:space="preserve"> PAGEREF _Toc237609961 \h </w:instrText>
      </w:r>
      <w:r>
        <w:fldChar w:fldCharType="separate"/>
      </w:r>
      <w:r>
        <w:t>2</w:t>
      </w:r>
      <w:r>
        <w:fldChar w:fldCharType="end"/>
      </w:r>
      <w:r>
        <w:fldChar w:fldCharType="end"/>
      </w:r>
    </w:p>
    <w:p>
      <w:pPr>
        <w:pStyle w:val="18"/>
        <w:tabs>
          <w:tab w:val="right" w:leader="dot" w:pos="8296"/>
        </w:tabs>
        <w:rPr>
          <w:rFonts w:eastAsia="宋体"/>
          <w:sz w:val="21"/>
          <w:szCs w:val="22"/>
        </w:rPr>
      </w:pPr>
      <w:r>
        <w:fldChar w:fldCharType="begin"/>
      </w:r>
      <w:r>
        <w:instrText>Hyperlink \l "_Toc237609962"</w:instrText>
      </w:r>
      <w:r>
        <w:fldChar w:fldCharType="separate"/>
      </w:r>
      <w:r>
        <w:rPr>
          <w:rFonts w:hint="eastAsia"/>
        </w:rPr>
        <w:t>美将对多晶硅衍生品加征关税</w:t>
      </w:r>
      <w:r>
        <w:t xml:space="preserve"> </w:t>
      </w:r>
      <w:r>
        <w:rPr>
          <w:rFonts w:hint="eastAsia"/>
        </w:rPr>
        <w:t>引入最低进口价机制</w:t>
      </w:r>
      <w:r>
        <w:tab/>
      </w:r>
      <w:r>
        <w:fldChar w:fldCharType="begin"/>
      </w:r>
      <w:r>
        <w:instrText xml:space="preserve"> PAGEREF _Toc237609962 \h </w:instrText>
      </w:r>
      <w:r>
        <w:fldChar w:fldCharType="separate"/>
      </w:r>
      <w:r>
        <w:t>4</w:t>
      </w:r>
      <w:r>
        <w:fldChar w:fldCharType="end"/>
      </w:r>
      <w:r>
        <w:fldChar w:fldCharType="end"/>
      </w:r>
    </w:p>
    <w:p>
      <w:pPr>
        <w:pStyle w:val="18"/>
        <w:tabs>
          <w:tab w:val="right" w:leader="dot" w:pos="8296"/>
        </w:tabs>
        <w:rPr>
          <w:rFonts w:eastAsia="宋体"/>
          <w:sz w:val="21"/>
          <w:szCs w:val="22"/>
        </w:rPr>
      </w:pPr>
      <w:r>
        <w:fldChar w:fldCharType="begin"/>
      </w:r>
      <w:r>
        <w:instrText>Hyperlink \l "_Toc237609964"</w:instrText>
      </w:r>
      <w:r>
        <w:fldChar w:fldCharType="separate"/>
      </w:r>
      <w:r>
        <w:rPr>
          <w:rFonts w:hint="eastAsia"/>
        </w:rPr>
        <w:t>工业和信息化部召开光伏行业座谈会</w:t>
      </w:r>
      <w:r>
        <w:t xml:space="preserve"> </w:t>
      </w:r>
      <w:r>
        <w:rPr>
          <w:rFonts w:hint="eastAsia"/>
        </w:rPr>
        <w:t>进一步解读宣贯光伏组件强制性国家标准</w:t>
      </w:r>
      <w:r>
        <w:tab/>
      </w:r>
      <w:r>
        <w:fldChar w:fldCharType="begin"/>
      </w:r>
      <w:r>
        <w:instrText xml:space="preserve"> PAGEREF _Toc237609964 \h </w:instrText>
      </w:r>
      <w:r>
        <w:fldChar w:fldCharType="separate"/>
      </w:r>
      <w:r>
        <w:t>4</w:t>
      </w:r>
      <w:r>
        <w:fldChar w:fldCharType="end"/>
      </w:r>
      <w:r>
        <w:fldChar w:fldCharType="end"/>
      </w:r>
    </w:p>
    <w:p>
      <w:pPr>
        <w:pStyle w:val="1"/>
        <w:spacing w:beforeAutospacing="0" w:afterAutospacing="0"/>
        <w:ind w:firstLine="964"/>
        <w:rPr>
          <w:rFonts w:ascii="Times New Roman" w:hAnsi="Times New Roman"/>
          <w:sz w:val="32"/>
          <w:szCs w:val="32"/>
        </w:rPr>
      </w:pPr>
      <w:r>
        <w:rPr>
          <w:rFonts w:ascii="Times New Roman" w:hAnsi="Times New Roman"/>
          <w:szCs w:val="32"/>
        </w:rPr>
        <w:fldChar w:fldCharType="end"/>
      </w:r>
    </w:p>
    <w:p>
      <w:pPr>
        <w:pStyle w:val="1"/>
        <w:ind w:firstLine="643"/>
        <w:rPr>
          <w:rFonts w:ascii="Times New Roman" w:hAnsi="Times New Roman"/>
          <w:sz w:val="32"/>
          <w:szCs w:val="32"/>
        </w:rPr>
        <w:sectPr>
          <w:footerReference w:type="default" r:id="rId2"/>
          <w:pgSz w:w="11906" w:h="16838"/>
          <w:pgMar w:top="1440" w:right="1800" w:bottom="1440" w:left="1800" w:header="851" w:footer="992" w:gutter="0"/>
          <w:docGrid w:type="lines" w:linePitch="312" w:charSpace="0"/>
        </w:sectPr>
      </w:pPr>
    </w:p>
    <w:p>
      <w:pPr>
        <w:pStyle w:val="1"/>
        <w:rPr>
          <w:rFonts w:ascii="Times New Roman" w:hAnsi="Times New Roman"/>
          <w:sz w:val="32"/>
          <w:szCs w:val="32"/>
        </w:rPr>
      </w:pPr>
      <w:bookmarkStart w:id="2" w:name="_Toc8245"/>
      <w:bookmarkStart w:id="3" w:name="_Toc237609959"/>
      <w:bookmarkEnd w:id="0"/>
      <w:r>
        <w:rPr>
          <w:rFonts w:ascii="Times New Roman" w:hAnsi="Times New Roman"/>
          <w:sz w:val="32"/>
          <w:szCs w:val="32"/>
        </w:rPr>
        <w:t>【光伏贸易措施】</w:t>
      </w:r>
      <w:bookmarkEnd w:id="2"/>
      <w:bookmarkEnd w:id="3"/>
    </w:p>
    <w:p>
      <w:pPr>
        <w:pStyle w:val="1"/>
        <w:jc w:val="center"/>
      </w:pPr>
      <w:bookmarkStart w:id="4" w:name="_Toc237609960"/>
      <w:r>
        <w:t>商务部：对美系列涉华消极措施，实施反制！</w:t>
      </w:r>
      <w:bookmarkEnd w:id="4"/>
    </w:p>
    <w:p>
      <w:pPr>
        <w:spacing w:line="360" w:lineRule="exact"/>
        <w:ind w:firstLineChars="0" w:firstLine="0"/>
        <w:jc w:val="center"/>
        <w:rPr>
          <w:rFonts w:ascii="Times New Roman" w:cs="Times New Roman" w:hAnsi="Times New Roman"/>
          <w:sz w:val="24"/>
        </w:rPr>
      </w:pPr>
      <w:r>
        <w:rPr>
          <w:rFonts w:ascii="Times New Roman" w:cs="Times New Roman" w:hAnsi="Times New Roman"/>
          <w:sz w:val="24"/>
        </w:rPr>
        <w:t>日期：2026年8月5日   来源：商务部</w:t>
      </w:r>
    </w:p>
    <w:p>
      <w:pPr>
        <w:spacing w:line="360" w:lineRule="exact"/>
        <w:ind w:firstLineChars="0" w:firstLine="0"/>
        <w:jc w:val="center"/>
        <w:rPr>
          <w:rFonts w:ascii="Times New Roman" w:cs="Times New Roman" w:hAnsi="Times New Roman"/>
          <w:sz w:val="24"/>
        </w:rPr>
      </w:pPr>
      <w:r>
        <w:rPr>
          <w:rFonts w:ascii="Times New Roman" w:cs="Times New Roman" w:hAnsi="Times New Roman"/>
          <w:sz w:val="24"/>
        </w:rPr>
        <w:fldChar w:fldCharType="begin"/>
      </w:r>
      <w:r>
        <w:instrText>HYPERLINK "https://www.mofcom.gov.cn/"</w:instrText>
      </w:r>
      <w:r>
        <w:rPr>
          <w:rFonts w:ascii="Times New Roman" w:cs="Times New Roman" w:hAnsi="Times New Roman"/>
          <w:sz w:val="24"/>
        </w:rPr>
        <w:fldChar w:fldCharType="separate"/>
      </w:r>
      <w:r>
        <w:rPr>
          <w:rFonts w:ascii="Times New Roman" w:cs="Times New Roman" w:hAnsi="Times New Roman"/>
          <w:sz w:val="24"/>
        </w:rPr>
        <w:t>https://www.mofcom.gov.cn/</w:t>
      </w:r>
      <w:r>
        <w:rPr>
          <w:rFonts w:ascii="Times New Roman" w:cs="Times New Roman" w:hAnsi="Times New Roman"/>
          <w:sz w:val="24"/>
        </w:rPr>
        <w:fldChar w:fldCharType="end"/>
      </w:r>
    </w:p>
    <w:p>
      <w:pPr>
        <w:rPr>
          <w:rFonts w:ascii="Times New Roman" w:cs="Times New Roman" w:hAnsi="Times New Roman"/>
          <w:szCs w:val="32"/>
        </w:rPr>
      </w:pPr>
      <w:r>
        <w:rPr>
          <w:rFonts w:ascii="Times New Roman" w:cs="Times New Roman" w:hAnsi="Times New Roman"/>
          <w:szCs w:val="32"/>
        </w:rPr>
        <w:t>8月5日，商务部新闻发言人就对美国联邦通信委员会、美国土安全部系列涉华消极措施实施反制答记者问。</w:t>
      </w:r>
    </w:p>
    <w:p>
      <w:pPr>
        <w:rPr>
          <w:rFonts w:ascii="Times New Roman" w:cs="Times New Roman" w:hAnsi="Times New Roman"/>
          <w:szCs w:val="32"/>
        </w:rPr>
      </w:pPr>
      <w:r>
        <w:rPr>
          <w:rFonts w:ascii="Times New Roman" w:cs="Times New Roman" w:hAnsi="Times New Roman"/>
          <w:szCs w:val="32"/>
        </w:rPr>
        <w:t>在7月30日中美经贸牵头人视频通话之后，7月31日又将40余家中国实体列入所谓“维吾尔强迫劳动预防法实体清单”。中方对此强烈不满、坚决反对。</w:t>
      </w:r>
    </w:p>
    <w:p>
      <w:pPr>
        <w:rPr>
          <w:rFonts w:ascii="Times New Roman" w:cs="Times New Roman" w:hAnsi="Times New Roman"/>
          <w:szCs w:val="32"/>
        </w:rPr>
      </w:pPr>
      <w:r>
        <w:rPr>
          <w:rFonts w:ascii="Times New Roman" w:cs="Times New Roman" w:hAnsi="Times New Roman"/>
          <w:szCs w:val="32"/>
        </w:rPr>
        <w:t>中方只能采取必要的反制措施予以回应，包括：加强无人机及其关键零部件、技术对美出口管制，暂停中国强制性产品认证指定机构委托美认证机构实施的工厂跟踪检查，将美国合规性测试公司列入反制清单，对进口打印复印办公设备发起对外贸易国家安全调查，将6家美国实体列入反制清单等。</w:t>
      </w:r>
    </w:p>
    <w:p>
      <w:pPr>
        <w:pStyle w:val="1"/>
        <w:jc w:val="center"/>
      </w:pPr>
      <w:bookmarkStart w:id="5" w:name="_Toc237609961"/>
      <w:r>
        <w:t>美国禁止外国产太阳能逆变器</w:t>
      </w:r>
      <w:bookmarkEnd w:id="5"/>
    </w:p>
    <w:p>
      <w:pPr>
        <w:spacing w:line="360" w:lineRule="exact"/>
        <w:ind w:firstLineChars="0" w:firstLine="0"/>
        <w:jc w:val="center"/>
        <w:rPr>
          <w:rFonts w:ascii="Times New Roman" w:cs="Times New Roman" w:hAnsi="Times New Roman"/>
          <w:sz w:val="24"/>
        </w:rPr>
      </w:pPr>
      <w:r>
        <w:rPr>
          <w:rFonts w:ascii="Times New Roman" w:cs="Times New Roman" w:hAnsi="Times New Roman"/>
          <w:sz w:val="24"/>
        </w:rPr>
        <w:t>日期：2026年8月3日  来源：PV-MAGAZINE</w:t>
      </w:r>
    </w:p>
    <w:p>
      <w:pPr>
        <w:spacing w:line="360" w:lineRule="exact"/>
        <w:ind w:firstLineChars="0" w:firstLine="0"/>
        <w:jc w:val="center"/>
        <w:rPr>
          <w:rFonts w:ascii="Times New Roman" w:cs="Times New Roman" w:hAnsi="Times New Roman"/>
          <w:sz w:val="24"/>
        </w:rPr>
      </w:pPr>
      <w:r>
        <w:rPr>
          <w:rFonts w:ascii="Times New Roman" w:cs="Times New Roman" w:hAnsi="Times New Roman"/>
          <w:sz w:val="24"/>
        </w:rPr>
        <w:fldChar w:fldCharType="begin"/>
      </w:r>
      <w:r>
        <w:instrText>HYPERLINK "https://www.pv-magazine-china.com"</w:instrText>
      </w:r>
      <w:r>
        <w:rPr>
          <w:rFonts w:ascii="Times New Roman" w:cs="Times New Roman" w:hAnsi="Times New Roman"/>
          <w:sz w:val="24"/>
        </w:rPr>
        <w:fldChar w:fldCharType="separate"/>
      </w:r>
      <w:r>
        <w:rPr>
          <w:rFonts w:ascii="Times New Roman" w:cs="Times New Roman" w:hAnsi="Times New Roman"/>
          <w:sz w:val="24"/>
        </w:rPr>
        <w:t>https://www.pv-magazine-china.com</w:t>
      </w:r>
      <w:r>
        <w:rPr>
          <w:rFonts w:ascii="Times New Roman" w:cs="Times New Roman" w:hAnsi="Times New Roman"/>
          <w:sz w:val="24"/>
        </w:rPr>
        <w:fldChar w:fldCharType="end"/>
      </w:r>
    </w:p>
    <w:p>
      <w:pPr>
        <w:rPr>
          <w:rFonts w:ascii="Times New Roman" w:cs="Times New Roman" w:hAnsi="Times New Roman"/>
          <w:szCs w:val="32"/>
        </w:rPr>
      </w:pPr>
      <w:r>
        <w:rPr>
          <w:rFonts w:ascii="Times New Roman" w:cs="Times New Roman" w:hAnsi="Times New Roman"/>
          <w:szCs w:val="32"/>
        </w:rPr>
        <w:t>美国联邦通信委员会公共安全与国土安全局将外国产功率逆变器列入“受控清单”，由此触发在美国境内对新设备销售的即时全面禁令。</w:t>
      </w:r>
    </w:p>
    <w:p>
      <w:pPr>
        <w:rPr>
          <w:rFonts w:ascii="Times New Roman" w:cs="Times New Roman" w:hAnsi="Times New Roman"/>
          <w:szCs w:val="32"/>
        </w:rPr>
      </w:pPr>
      <w:r>
        <w:rPr>
          <w:rFonts w:ascii="Times New Roman" w:cs="Times New Roman" w:hAnsi="Times New Roman"/>
          <w:szCs w:val="32"/>
        </w:rPr>
        <w:t>这意味着任何依赖美国境外制造的逆变器的太阳能或电池储能项目，若该型号尚未获得官方FCC ID，将无法合法投运或并网。由于不存在过渡期、溯及豁免条款或宽限窗口，监管审批管道于今日冻结，迫使开发商暂停正在进行的采购，并寻找新的硬件供应商。关键在于，此规定严格针对新逆变器型号的申报，而非对所有外国制造组件实施全面冻结。</w:t>
      </w:r>
    </w:p>
    <w:p>
      <w:pPr>
        <w:rPr>
          <w:rFonts w:ascii="Times New Roman" w:cs="Times New Roman" w:hAnsi="Times New Roman"/>
          <w:szCs w:val="32"/>
        </w:rPr>
      </w:pPr>
      <w:r>
        <w:rPr>
          <w:rFonts w:ascii="Times New Roman" w:cs="Times New Roman" w:hAnsi="Times New Roman"/>
          <w:szCs w:val="32"/>
        </w:rPr>
        <w:t>上述限制仅适用于新设备型号的前瞻性授权；已通过FCC审批流程的现有逆变器型号不受影响，仍可继续进口、销售和安装。由于绝大多数近期公用事业及商业项目所采用的硬件型号均持有既有的FCC设备授权，大多数在建项目的即时运营所受影响有限。</w:t>
      </w:r>
    </w:p>
    <w:p>
      <w:pPr>
        <w:rPr>
          <w:rFonts w:ascii="Times New Roman" w:cs="Times New Roman" w:hAnsi="Times New Roman"/>
          <w:szCs w:val="32"/>
        </w:rPr>
      </w:pPr>
      <w:r>
        <w:rPr>
          <w:rFonts w:ascii="Times New Roman" w:cs="Times New Roman" w:hAnsi="Times New Roman"/>
          <w:szCs w:val="32"/>
        </w:rPr>
        <w:t>该禁令针对的是硬件物理组装地，而非品牌所有者的国籍。裁定覆盖在任何外国生产的逆变器，无论制造商国籍如何。FCC采用联邦“购买美国产品标准”中关于“本国最终产品”的定义来执行此项限制。这意味着，美国企业旗下但在海外工厂生产的逆变器将被完全禁止。反之，外国制造商若在美国本土工厂进行最终组装，只要本地制造过程满足联邦组件价值门槛要求，仍可获得设备授权。</w:t>
      </w:r>
    </w:p>
    <w:p>
      <w:pPr>
        <w:pStyle w:val="2"/>
        <w:keepNext w:val="0"/>
        <w:keepLines w:val="0"/>
        <w:widowControl/>
        <w:jc w:val="left"/>
        <w:rPr>
          <w:rFonts w:ascii="方正楷体_GBK" w:cs="方正楷体_GBK"/>
        </w:rPr>
      </w:pPr>
      <w:r>
        <w:rPr>
          <w:rFonts w:ascii="方正楷体_GBK" w:cs="方正楷体_GBK" w:hint="eastAsia"/>
        </w:rPr>
        <w:t>海关建议：该政策本质是以“网络安全”为名实施产业保护，挤压中国逆变器企业北美市场空间。建议企业持续优化市场结构，降低对北美市场依赖，推动技术与合规体系建设，同时需要警惕后续政策持续加码。</w:t>
      </w:r>
    </w:p>
    <w:p>
      <w:pPr>
        <w:ind w:firstLineChars="0" w:firstLine="0"/>
        <w:rPr>
          <w:rFonts w:ascii="Times New Roman" w:cs="Times New Roman" w:hAnsi="Times New Roman"/>
          <w:szCs w:val="32"/>
        </w:rPr>
      </w:pPr>
    </w:p>
    <w:p>
      <w:pPr>
        <w:ind w:firstLineChars="0" w:firstLine="0"/>
        <w:rPr>
          <w:rFonts w:ascii="Times New Roman" w:cs="Times New Roman" w:hAnsi="Times New Roman"/>
          <w:szCs w:val="32"/>
        </w:rPr>
      </w:pPr>
    </w:p>
    <w:p>
      <w:pPr>
        <w:ind w:firstLineChars="0" w:firstLine="0"/>
        <w:rPr>
          <w:rFonts w:ascii="Times New Roman" w:cs="Times New Roman" w:hAnsi="Times New Roman"/>
          <w:szCs w:val="32"/>
        </w:rPr>
      </w:pPr>
    </w:p>
    <w:p>
      <w:pPr>
        <w:pStyle w:val="1"/>
        <w:jc w:val="center"/>
      </w:pPr>
      <w:bookmarkStart w:id="6" w:name="_Toc237609962"/>
      <w:r>
        <w:t>美将对多晶硅衍生品加征关税 引入</w:t>
      </w:r>
      <w:bookmarkEnd w:id="6"/>
    </w:p>
    <w:p>
      <w:pPr>
        <w:pStyle w:val="1"/>
        <w:jc w:val="center"/>
      </w:pPr>
      <w:bookmarkStart w:id="7" w:name="_Toc237609963"/>
      <w:r>
        <w:t>最低进口价机制</w:t>
      </w:r>
      <w:bookmarkEnd w:id="7"/>
    </w:p>
    <w:p>
      <w:pPr>
        <w:spacing w:line="360" w:lineRule="exact"/>
        <w:ind w:firstLineChars="0" w:firstLine="0"/>
        <w:jc w:val="center"/>
        <w:rPr>
          <w:rFonts w:ascii="Times New Roman" w:cs="Times New Roman" w:hAnsi="Times New Roman"/>
          <w:sz w:val="24"/>
        </w:rPr>
      </w:pPr>
    </w:p>
    <w:p>
      <w:pPr>
        <w:spacing w:line="360" w:lineRule="exact"/>
        <w:ind w:firstLineChars="0" w:firstLine="0"/>
        <w:jc w:val="center"/>
        <w:rPr>
          <w:rFonts w:ascii="Times New Roman" w:cs="Times New Roman" w:hAnsi="Times New Roman"/>
          <w:sz w:val="24"/>
        </w:rPr>
      </w:pPr>
      <w:r>
        <w:rPr>
          <w:rFonts w:ascii="Times New Roman" w:cs="Times New Roman" w:hAnsi="Times New Roman" w:hint="eastAsia"/>
          <w:sz w:val="24"/>
        </w:rPr>
        <w:t>日期：2026年8月7日   来源：新华网</w:t>
      </w:r>
    </w:p>
    <w:p>
      <w:pPr>
        <w:spacing w:line="360" w:lineRule="exact"/>
        <w:ind w:firstLineChars="0" w:firstLine="0"/>
        <w:jc w:val="center"/>
        <w:rPr>
          <w:rFonts w:ascii="Times New Roman" w:cs="Times New Roman" w:hAnsi="Times New Roman"/>
          <w:sz w:val="24"/>
        </w:rPr>
      </w:pPr>
      <w:r>
        <w:rPr>
          <w:rFonts w:ascii="Times New Roman" w:cs="Times New Roman" w:hAnsi="Times New Roman"/>
          <w:sz w:val="24"/>
        </w:rPr>
        <w:t>https://www.news.cn</w:t>
      </w:r>
    </w:p>
    <w:p>
      <w:pPr>
        <w:rPr>
          <w:rFonts w:ascii="Times New Roman" w:cs="Times New Roman" w:hAnsi="Times New Roman"/>
          <w:szCs w:val="32"/>
        </w:rPr>
      </w:pPr>
      <w:r>
        <w:rPr>
          <w:rFonts w:ascii="Times New Roman" w:cs="Times New Roman" w:hAnsi="Times New Roman" w:hint="eastAsia"/>
          <w:szCs w:val="32"/>
        </w:rPr>
        <w:t>美国白宫6日发布声明说，美国总统特朗普当日签署一份公告，宣布将对进口多晶硅衍生品加征15%关税，并对进口多晶硅及其衍生品设定最低进口价机制。</w:t>
      </w:r>
    </w:p>
    <w:p>
      <w:pPr>
        <w:ind w:firstLineChars="0" w:firstLine="0"/>
        <w:rPr>
          <w:rFonts w:ascii="Times New Roman" w:cs="Times New Roman" w:hAnsi="Times New Roman"/>
          <w:szCs w:val="32"/>
        </w:rPr>
      </w:pPr>
      <w:r>
        <w:rPr>
          <w:rFonts w:ascii="Times New Roman" w:cs="Times New Roman" w:hAnsi="Times New Roman" w:hint="eastAsia"/>
          <w:szCs w:val="32"/>
        </w:rPr>
        <w:t>　　公告说，依据《1962年贸易扩展法》第232条款，美方将自美国东部时间2026年12月4日起实施上述措施，以重振美国多晶硅产业。其中，通过引入最低进口价机制，美方将阻止任何价格低于该水平的产品进入美国市场。</w:t>
      </w:r>
    </w:p>
    <w:p>
      <w:pPr>
        <w:ind w:firstLineChars="0" w:firstLine="0"/>
        <w:rPr>
          <w:rFonts w:ascii="Times New Roman" w:cs="Times New Roman" w:hAnsi="Times New Roman"/>
          <w:szCs w:val="32"/>
        </w:rPr>
      </w:pPr>
      <w:r>
        <w:rPr>
          <w:rFonts w:ascii="Times New Roman" w:cs="Times New Roman" w:hAnsi="Times New Roman" w:hint="eastAsia"/>
          <w:szCs w:val="32"/>
        </w:rPr>
        <w:t>　　依据公告，进口多晶硅最低进口价为每公斤21美元，多晶硅锭和晶圆为每公斤100美元，进口太阳能电池和太阳能电池组件最低进口价分别为每瓦特0.22美元和0.38美元。</w:t>
      </w:r>
    </w:p>
    <w:p>
      <w:pPr>
        <w:ind w:firstLineChars="0" w:firstLine="0"/>
        <w:rPr>
          <w:rFonts w:ascii="Times New Roman" w:cs="Times New Roman" w:hAnsi="Times New Roman"/>
          <w:szCs w:val="32"/>
        </w:rPr>
      </w:pPr>
      <w:r>
        <w:rPr>
          <w:rFonts w:ascii="Times New Roman" w:cs="Times New Roman" w:hAnsi="Times New Roman" w:hint="eastAsia"/>
          <w:szCs w:val="32"/>
        </w:rPr>
        <w:t>　　公告说，美国商务部获得授权设立一项激励计划，以推动多晶硅等产品生产“回流美国”。</w:t>
      </w:r>
    </w:p>
    <w:p>
      <w:pPr>
        <w:ind w:firstLineChars="0" w:firstLine="0"/>
        <w:rPr>
          <w:rFonts w:ascii="Times New Roman" w:cs="Times New Roman" w:hAnsi="Times New Roman"/>
          <w:szCs w:val="32"/>
        </w:rPr>
      </w:pPr>
      <w:r>
        <w:rPr>
          <w:rFonts w:ascii="Times New Roman" w:cs="Times New Roman" w:hAnsi="Times New Roman" w:hint="eastAsia"/>
          <w:szCs w:val="32"/>
        </w:rPr>
        <w:t>【</w:t>
      </w:r>
      <w:r>
        <w:rPr>
          <w:rFonts w:ascii="Times New Roman" w:eastAsia="方正小标宋_GBK" w:cs="Times New Roman" w:hAnsi="Times New Roman" w:hint="eastAsia"/>
          <w:bCs/>
          <w:kern w:val="44"/>
          <w:szCs w:val="32"/>
        </w:rPr>
        <w:t>光伏产业信息</w:t>
      </w:r>
      <w:r>
        <w:rPr>
          <w:rFonts w:ascii="Times New Roman" w:cs="Times New Roman" w:hAnsi="Times New Roman" w:hint="eastAsia"/>
          <w:szCs w:val="32"/>
        </w:rPr>
        <w:t>】</w:t>
      </w:r>
    </w:p>
    <w:p>
      <w:pPr>
        <w:pStyle w:val="1"/>
        <w:jc w:val="center"/>
      </w:pPr>
      <w:bookmarkStart w:id="8" w:name="_Toc237609964"/>
      <w:r>
        <w:t>工业和信息化部召开光伏行业座谈会 进一步解读宣贯光伏组件强制性国家标准</w:t>
      </w:r>
      <w:bookmarkEnd w:id="8"/>
    </w:p>
    <w:p>
      <w:pPr>
        <w:spacing w:line="360" w:lineRule="exact"/>
        <w:ind w:firstLineChars="0" w:firstLine="0"/>
        <w:jc w:val="center"/>
        <w:rPr>
          <w:rFonts w:ascii="Times New Roman" w:cs="Times New Roman" w:hAnsi="Times New Roman"/>
          <w:sz w:val="24"/>
        </w:rPr>
      </w:pPr>
      <w:r>
        <w:rPr>
          <w:rFonts w:ascii="Times New Roman" w:cs="Times New Roman" w:hAnsi="Times New Roman"/>
          <w:sz w:val="24"/>
        </w:rPr>
        <w:t>日期：2026年8月4日   来源：工信部电子信息司</w:t>
      </w:r>
    </w:p>
    <w:p>
      <w:pPr>
        <w:spacing w:line="360" w:lineRule="exact"/>
        <w:ind w:firstLineChars="0" w:firstLine="0"/>
        <w:jc w:val="center"/>
        <w:rPr>
          <w:rFonts w:ascii="Times New Roman" w:cs="Times New Roman" w:hAnsi="Times New Roman"/>
          <w:sz w:val="24"/>
        </w:rPr>
      </w:pPr>
      <w:r>
        <w:rPr>
          <w:rFonts w:ascii="Times New Roman" w:cs="Times New Roman" w:hAnsi="Times New Roman"/>
          <w:sz w:val="24"/>
        </w:rPr>
        <w:t>https://www.miit.gov.cn/</w:t>
      </w:r>
    </w:p>
    <w:p>
      <w:pPr>
        <w:rPr>
          <w:rFonts w:ascii="Times New Roman" w:cs="Times New Roman" w:hAnsi="Times New Roman"/>
          <w:szCs w:val="32"/>
        </w:rPr>
      </w:pPr>
      <w:r>
        <w:rPr>
          <w:rFonts w:ascii="Times New Roman" w:cs="Times New Roman" w:hAnsi="Times New Roman"/>
          <w:szCs w:val="32"/>
        </w:rPr>
        <w:t>7月30日，工业和信息化部电子信息司组织召开光伏行业座谈会，围绕近期发布的《光伏组件安全要求》《光伏组件铭牌标识要求》《晶体硅光伏组件和逆变器能效限定值及能效等级》等三项强制性国家标准开展集中答疑，回应行业关切，部署下一步重点工作。</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楷体_GBK">
    <w:panose1 w:val="00000000000000000000"/>
    <w:charset w:val="86"/>
    <w:family w:val="script"/>
    <w:pitch w:val="variable"/>
    <w:sig w:usb0="00000001" w:usb1="080E0000" w:usb2="00000010" w:usb3="00000000" w:csb0="00040000" w:csb1="00000000"/>
  </w:font>
  <w:font w:name="方正小标宋_GBK">
    <w:panose1 w:val="00000000000000000000"/>
    <w:charset w:val="86"/>
    <w:family w:val="script"/>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仿宋_GBK">
    <w:panose1 w:val="00000000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0000000000000000000"/>
    <w:charset w:val="00"/>
    <w:family w:val="swiss"/>
    <w:pitch w:val="variable"/>
    <w:sig w:usb0="A00002EF" w:usb1="4000207B" w:usb2="00000000" w:usb3="00000000" w:csb0="0000019F" w:csb1="00000000"/>
  </w:font>
  <w:font w:name="黑体">
    <w:altName w:val="SimHei"/>
    <w:panose1 w:val="02010600030101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pPr>
    <w:r>
      <mc:AlternateContent>
        <mc:Choice Requires="wps">
          <w:drawing>
            <wp:anchor distT="0" distB="0" distL="114300" distR="114300" simplePos="0" relativeHeight="10" behindDoc="0" locked="0" layoutInCell="1" hidden="0" allowOverlap="1">
              <wp:simplePos x="0" y="0"/>
              <wp:positionH relativeFrom="margin">
                <wp:align>center</wp:align>
              </wp:positionH>
              <wp:positionV relativeFrom="paragraph">
                <wp:posOffset>0</wp:posOffset>
              </wp:positionV>
              <wp:extent cx="509905" cy="355599"/>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09905" cy="355599"/>
                      </a:xfrm>
                      <a:prstGeom prst="rect"/>
                      <a:noFill/>
                      <a:ln w="6350" cmpd="sng" cap="flat">
                        <a:noFill/>
                        <a:prstDash val="solid"/>
                        <a:round/>
                      </a:ln>
                    </wps:spPr>
                    <wps:txbx id="2">
                      <w:txbxContent>
                        <w:p>
                          <w:pPr>
                            <w:pStyle w:val="16"/>
                            <w:tabs>
                              <w:tab w:val="center" w:pos="4153"/>
                              <w:tab w:val="right" w:pos="8306"/>
                            </w:tabs>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p>
                      </w:txbxContent>
                    </wps:txbx>
                    <wps:bodyPr vert="horz" wrap="none" lIns="0" tIns="0" rIns="0" bIns="0" anchor="t" anchorCtr="0" upright="0">
                      <a:spAutoFit/>
                    </wps:bodyPr>
                  </wps:wsp>
                </a:graphicData>
              </a:graphic>
            </wp:anchor>
          </w:drawing>
        </mc:Choice>
        <mc:Fallback>
          <w:pict>
            <v:rect type="#_x0000_t1" id="文本框 1 3" o:spid="_x0000_s3" filled="f" stroked="f" strokeweight="0.5pt" style="position:absolute;margin-left:0.0pt;margin-top:0.0pt;width:40.15pt;height:27.999998pt;z-index:10;mso-position-horizontal:center;mso-position-horizontal-relative:margin;mso-position-vertical:absolute;mso-wrap-style:none;">
              <v:stroke color="#000000"/>
              <v:textbox id="848" inset="0mm,0mm,0mm,0mm" o:insetmode="custom" style="layout-flow:horizontal;v-text-anchor:top;mso-fit-shape-to-text:t;">
                <w:txbxContent>
                  <w:p>
                    <w:pPr>
                      <w:pStyle w:val="16"/>
                      <w:tabs>
                        <w:tab w:val="center" w:pos="4153"/>
                        <w:tab w:val="right" w:pos="8306"/>
                      </w:tabs>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drawingGridHorizontalSpacing w:val="16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DUyNzVkMDI3MWU4NzNkYjY3YzMxNmUxNDE2YzVlNz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60" w:lineRule="exact"/>
      <w:ind w:firstLineChars="200" w:firstLine="200"/>
      <w:jc w:val="both"/>
    </w:pPr>
    <w:rPr>
      <w:rFonts w:ascii="Calibri" w:eastAsia="方正仿宋_GBK" w:cs="Arial" w:hAnsi="Calibri"/>
      <w:kern w:val="2"/>
      <w:sz w:val="32"/>
      <w:szCs w:val="24"/>
      <w:lang w:val="en-US" w:eastAsia="zh-CN" w:bidi="ar-SA"/>
    </w:rPr>
  </w:style>
  <w:style w:type="paragraph" w:styleId="1">
    <w:name w:val="heading 1"/>
    <w:basedOn w:val="0"/>
    <w:pPr>
      <w:spacing w:beforeAutospacing="1" w:afterAutospacing="1" w:line="800" w:lineRule="exact"/>
      <w:ind w:firstLineChars="0" w:firstLine="0"/>
      <w:outlineLvl w:val="0"/>
    </w:pPr>
    <w:rPr>
      <w:rFonts w:ascii="宋体" w:eastAsia="方正小标宋_GBK" w:cs="Times New Roman" w:hAnsi="宋体"/>
      <w:bCs/>
      <w:kern w:val="44"/>
      <w:sz w:val="44"/>
      <w:szCs w:val="48"/>
    </w:rPr>
  </w:style>
  <w:style w:type="paragraph" w:styleId="2">
    <w:name w:val="heading 2"/>
    <w:basedOn w:val="0"/>
    <w:next w:val="0"/>
    <w:pPr>
      <w:keepNext/>
      <w:keepLines/>
      <w:widowControl w:val="0"/>
      <w:jc w:val="center"/>
      <w:outlineLvl w:val="1"/>
    </w:pPr>
    <w:rPr>
      <w:rFonts w:ascii="Calibri Light" w:eastAsia="方正楷体_GBK" w:cs="Times New Roman" w:hAnsi="Calibri Light"/>
      <w:b/>
      <w:bCs/>
      <w:szCs w:val="32"/>
    </w:rPr>
  </w:style>
  <w:style w:type="paragraph" w:styleId="3">
    <w:name w:val="heading 3"/>
    <w:basedOn w:val="0"/>
    <w:next w:val="0"/>
    <w:pPr>
      <w:spacing w:beforeAutospacing="1" w:afterAutospacing="1"/>
      <w:jc w:val="left"/>
      <w:outlineLvl w:val="2"/>
    </w:pPr>
    <w:rPr>
      <w:rFonts w:ascii="宋体" w:eastAsia="宋体" w:cs="Times New Roman"/>
      <w:b/>
      <w:bCs/>
      <w:kern w:val="0"/>
      <w:sz w:val="27"/>
      <w:szCs w:val="27"/>
    </w:rPr>
  </w:style>
  <w:style w:type="paragraph" w:styleId="4">
    <w:name w:val="heading 4"/>
    <w:basedOn w:val="0"/>
    <w:next w:val="0"/>
    <w:pPr>
      <w:keepNext/>
      <w:keepLines/>
      <w:widowControl w:val="0"/>
      <w:spacing w:line="372" w:lineRule="auto"/>
      <w:outlineLvl w:val="3"/>
    </w:pPr>
    <w:rPr>
      <w:rFonts w:ascii="Arial" w:eastAsia="黑体" w:hAnsi="Arial"/>
      <w:b/>
      <w:sz w:val="28"/>
    </w:rPr>
  </w:style>
  <w:style w:type="character" w:default="1" w:styleId="10">
    <w:name w:val="Default Paragraph Font"/>
  </w:style>
  <w:style w:type="paragraph" w:styleId="15">
    <w:name w:val="Balloon Text"/>
    <w:basedOn w:val="0"/>
    <w:pPr>
      <w:spacing w:line="240" w:lineRule="auto"/>
    </w:pPr>
    <w:rPr>
      <w:sz w:val="18"/>
      <w:szCs w:val="18"/>
    </w:rPr>
  </w:style>
  <w:style w:type="paragraph" w:styleId="16">
    <w:name w:val="footer"/>
    <w:basedOn w:val="0"/>
    <w:pPr>
      <w:tabs>
        <w:tab w:val="center" w:pos="4153"/>
        <w:tab w:val="right" w:pos="8306"/>
      </w:tabs>
      <w:snapToGrid w:val="0"/>
      <w:jc w:val="left"/>
    </w:pPr>
    <w:rPr>
      <w:sz w:val="18"/>
    </w:rPr>
  </w:style>
  <w:style w:type="paragraph" w:styleId="17">
    <w:name w:val="header"/>
    <w:basedOn w:val="0"/>
    <w:pPr>
      <w:tabs>
        <w:tab w:val="center" w:pos="4153"/>
        <w:tab w:val="right" w:pos="8306"/>
      </w:tabs>
      <w:snapToGrid w:val="0"/>
      <w:spacing w:line="240" w:lineRule="auto"/>
    </w:pPr>
    <w:rPr>
      <w:sz w:val="18"/>
    </w:rPr>
  </w:style>
  <w:style w:type="paragraph" w:styleId="18">
    <w:name w:val="toc 1"/>
    <w:basedOn w:val="0"/>
    <w:next w:val="0"/>
  </w:style>
  <w:style w:type="paragraph" w:styleId="19">
    <w:name w:val="Normal (Web)"/>
    <w:basedOn w:val="0"/>
    <w:pPr>
      <w:spacing w:beforeAutospacing="1" w:afterAutospacing="1"/>
      <w:jc w:val="left"/>
    </w:pPr>
    <w:rPr>
      <w:rFonts w:cs="Times New Roman"/>
      <w:kern w:val="0"/>
      <w:sz w:val="24"/>
    </w:rPr>
  </w:style>
  <w:style w:type="character" w:styleId="20">
    <w:name w:val="Strong"/>
    <w:basedOn w:val="10"/>
    <w:rPr>
      <w:b/>
    </w:rPr>
  </w:style>
  <w:style w:type="character" w:styleId="21">
    <w:name w:val="Emphasis"/>
    <w:basedOn w:val="10"/>
    <w:rPr>
      <w:i/>
    </w:rPr>
  </w:style>
  <w:style w:type="character" w:styleId="22">
    <w:name w:val="Hyperlink"/>
    <w:basedOn w:val="10"/>
    <w:rPr>
      <w:color w:val="0000FF"/>
      <w:u w:val="single"/>
    </w:rPr>
  </w:style>
  <w:style w:type="paragraph" w:customStyle="1" w:styleId="23">
    <w:name w:val="WPSOffice手动目录 1"/>
    <w:rPr>
      <w:rFonts w:ascii="Calibri" w:eastAsia="宋体" w:cs="Arial" w:hAnsi="Calibri"/>
      <w:lang w:val="en-US" w:eastAsia="zh-CN" w:bidi="ar-SA"/>
    </w:rPr>
  </w:style>
  <w:style w:type="character" w:customStyle="1" w:styleId="24">
    <w:name w:val="不明显强调1"/>
    <w:basedOn w:val="10"/>
    <w:rPr>
      <w:i/>
      <w:iCs/>
      <w:color w:val="7F7F7F"/>
    </w:rPr>
  </w:style>
  <w:style w:type="character" w:customStyle="1" w:styleId="25">
    <w:name w:val="item"/>
    <w:basedOn w:val="10"/>
  </w:style>
  <w:style w:type="character" w:customStyle="1" w:styleId="26">
    <w:name w:val="txt"/>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5</Pages>
  <Words>1499</Words>
  <Characters>1652</Characters>
  <Lines>81</Lines>
  <Paragraphs>34</Paragraphs>
  <CharactersWithSpaces>1678</CharactersWithSpaces>
  <Company>Organization</Company>
</Properties>
</file>

<file path=docProps/core.xml><?xml version="1.0" encoding="utf-8"?>
<cp:coreProperties xmlns:cp="http://schemas.openxmlformats.org/package/2006/metadata/core-properties" xmlns:dc="http://purl.org/dc/elements/1.1/" xmlns:dcterms="http://purl.org/dc/terms/" xmlns:xsi="http://www.w3.org/2001/XMLSchema-instance">
  <dc:creator>86189</dc:creator>
  <cp:lastModifiedBy>申德生</cp:lastModifiedBy>
  <cp:revision>3</cp:revision>
  <dcterms:created xsi:type="dcterms:W3CDTF">2026-08-14T06:25:00Z</dcterms:created>
  <dcterms:modified xsi:type="dcterms:W3CDTF">2026-08-31T10:21:06Z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4FA415E395F34B2A85EF72C48605329E_13</vt:lpwstr>
  </property>
  <property fmtid="{D5CDD505-2E9C-101B-9397-08002B2CF9AE}" pid="4" name="KSOTemplateDocerSaveRecord">
    <vt:lpwstr>eyJoZGlkIjoiYzczNTc4M2E4NGU3N2ZlY2I0MjkwODQ4MGNlMzdmODgiLCJ1c2VySWQiOiI2OTc5MDIifQ==</vt:lpwstr>
  </property>
</Properties>
</file>