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240" w:lineRule="auto"/>
        <w:ind w:firstLineChars="0" w:firstLine="0"/>
        <w:jc w:val="center"/>
        <w:rPr>
          <w:rFonts w:ascii="Times New Roman" w:eastAsia="宋体" w:cs="Times New Roman" w:hAnsi="Times New Roman"/>
          <w:szCs w:val="32"/>
        </w:rPr>
      </w:pPr>
      <w:bookmarkStart w:id="0" w:name="_Toc30197"/>
      <w:bookmarkStart w:id="1" w:name="_GoBack"/>
      <w:bookmarkEnd w:id="1"/>
      <w:r>
        <w:rPr>
          <w:rFonts w:ascii="Times New Roman" w:eastAsia="宋体" w:cs="Times New Roman" w:hAnsi="Times New Roman"/>
          <w:szCs w:val="32"/>
        </w:rPr>
        <w:t>目录</w:t>
      </w:r>
    </w:p>
    <w:p>
      <w:pPr>
        <w:pStyle w:val="18"/>
        <w:tabs>
          <w:tab w:val="right" w:leader="dot" w:pos="8296"/>
        </w:tabs>
        <w:ind w:firstLineChars="0" w:firstLine="0"/>
        <w:rPr>
          <w:rFonts w:ascii="Times New Roman" w:eastAsia="宋体" w:cs="Times New Roman" w:hAnsi="Times New Roman"/>
          <w:sz w:val="21"/>
          <w:szCs w:val="22"/>
        </w:rPr>
      </w:pPr>
      <w:r>
        <w:rPr>
          <w:rStyle w:val="22"/>
          <w:rFonts w:ascii="Times New Roman" w:eastAsia="黑体" w:cs="Times New Roman" w:hAnsi="Times New Roman"/>
        </w:rPr>
        <w:fldChar w:fldCharType="begin"/>
      </w:r>
      <w:r>
        <w:rPr>
          <w:rStyle w:val="22"/>
          <w:rFonts w:ascii="Times New Roman" w:eastAsia="黑体" w:cs="Times New Roman" w:hAnsi="Times New Roman"/>
        </w:rPr>
        <w:instrText xml:space="preserve">TOC \o "1-1" \h \u </w:instrText>
      </w:r>
      <w:r>
        <w:rPr>
          <w:rStyle w:val="22"/>
          <w:rFonts w:eastAsia="黑体"/>
        </w:rPr>
        <w:fldChar w:fldCharType="separate"/>
      </w:r>
      <w:r>
        <w:fldChar w:fldCharType="begin"/>
      </w:r>
      <w:r>
        <w:instrText>Hyperlink \l "_Toc231317093"</w:instrText>
      </w:r>
      <w:r>
        <w:fldChar w:fldCharType="separate"/>
      </w:r>
      <w:r>
        <w:rPr>
          <w:rFonts w:ascii="Times New Roman" w:eastAsia="黑体" w:cs="Times New Roman" w:hAnsi="Times New Roman"/>
          <w:u w:val="none"/>
        </w:rPr>
        <w:t>【光伏产业信息】</w:t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fldChar w:fldCharType="begin"/>
      </w:r>
      <w:r>
        <w:rPr>
          <w:rFonts w:ascii="Times New Roman" w:cs="Times New Roman" w:hAnsi="Times New Roman"/>
        </w:rPr>
        <w:instrText xml:space="preserve"> PAGEREF _Toc231317093 \h </w:instrText>
      </w:r>
      <w:r>
        <w:rPr>
          <w:rFonts w:ascii="Times New Roman" w:cs="Times New Roman" w:hAnsi="Times New Roman"/>
        </w:rPr>
        <w:fldChar w:fldCharType="separate"/>
      </w:r>
      <w:r>
        <w:rPr>
          <w:rFonts w:ascii="Times New Roman" w:cs="Times New Roman" w:hAnsi="Times New Roman"/>
        </w:rPr>
        <w:t>2</w:t>
      </w:r>
      <w:r>
        <w:rPr>
          <w:rFonts w:ascii="Times New Roman" w:cs="Times New Roman" w:hAnsi="Times New Roman"/>
        </w:rPr>
        <w:fldChar w:fldCharType="end"/>
      </w:r>
      <w:r>
        <w:fldChar w:fldCharType="end"/>
      </w:r>
    </w:p>
    <w:p>
      <w:pPr>
        <w:pStyle w:val="18"/>
        <w:tabs>
          <w:tab w:val="right" w:leader="dot" w:pos="8296"/>
        </w:tabs>
        <w:ind w:firstLineChars="0" w:firstLine="0"/>
        <w:rPr>
          <w:rFonts w:ascii="Times New Roman" w:eastAsia="宋体" w:cs="Times New Roman" w:hAnsi="Times New Roman"/>
          <w:sz w:val="21"/>
          <w:szCs w:val="22"/>
        </w:rPr>
      </w:pPr>
      <w:r>
        <w:fldChar w:fldCharType="begin"/>
      </w:r>
      <w:r>
        <w:instrText>Hyperlink \l "_Toc231317094"</w:instrText>
      </w:r>
      <w:r>
        <w:fldChar w:fldCharType="separate"/>
      </w:r>
      <w:r>
        <w:rPr>
          <w:rFonts w:ascii="Times New Roman" w:eastAsia="方正小标宋_GBK" w:cs="Times New Roman" w:hAnsi="Times New Roman"/>
          <w:bCs/>
          <w:kern w:val="44"/>
        </w:rPr>
        <w:t>美国对印度、印度尼西亚及老挝进口的太阳能产品征收反倾销税</w:t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fldChar w:fldCharType="begin"/>
      </w:r>
      <w:r>
        <w:rPr>
          <w:rFonts w:ascii="Times New Roman" w:cs="Times New Roman" w:hAnsi="Times New Roman"/>
        </w:rPr>
        <w:instrText xml:space="preserve"> PAGEREF _Toc231317094 \h </w:instrText>
      </w:r>
      <w:r>
        <w:rPr>
          <w:rFonts w:ascii="Times New Roman" w:cs="Times New Roman" w:hAnsi="Times New Roman"/>
        </w:rPr>
        <w:fldChar w:fldCharType="separate"/>
      </w:r>
      <w:r>
        <w:rPr>
          <w:rFonts w:ascii="Times New Roman" w:cs="Times New Roman" w:hAnsi="Times New Roman"/>
        </w:rPr>
        <w:t>2</w:t>
      </w:r>
      <w:r>
        <w:rPr>
          <w:rFonts w:ascii="Times New Roman" w:cs="Times New Roman" w:hAnsi="Times New Roman"/>
        </w:rPr>
        <w:fldChar w:fldCharType="end"/>
      </w:r>
      <w:r>
        <w:fldChar w:fldCharType="end"/>
      </w:r>
    </w:p>
    <w:p>
      <w:pPr>
        <w:pStyle w:val="18"/>
        <w:tabs>
          <w:tab w:val="right" w:leader="dot" w:pos="8296"/>
        </w:tabs>
        <w:ind w:firstLineChars="0" w:firstLine="0"/>
        <w:rPr>
          <w:rFonts w:ascii="Times New Roman" w:eastAsia="宋体" w:cs="Times New Roman" w:hAnsi="Times New Roman"/>
          <w:sz w:val="21"/>
          <w:szCs w:val="22"/>
        </w:rPr>
      </w:pPr>
      <w:r>
        <w:fldChar w:fldCharType="begin"/>
      </w:r>
      <w:r>
        <w:instrText>Hyperlink \l "_Toc231317095"</w:instrText>
      </w:r>
      <w:r>
        <w:fldChar w:fldCharType="separate"/>
      </w:r>
      <w:r>
        <w:fldChar w:fldCharType="end"/>
      </w:r>
      <w:r>
        <w:fldChar w:fldCharType="begin"/>
      </w:r>
      <w:r>
        <w:instrText>Hyperlink \l "_Toc231317096"</w:instrText>
      </w:r>
      <w:r>
        <w:fldChar w:fldCharType="separate"/>
      </w:r>
      <w:r>
        <w:rPr>
          <w:rFonts w:ascii="Times New Roman" w:eastAsia="方正小标宋_GBK" w:cs="Times New Roman" w:hAnsi="Times New Roman"/>
          <w:bCs/>
          <w:kern w:val="44"/>
        </w:rPr>
        <w:t>美国ITC发布对光伏干线总线电缆部件及其组件的337部分终裁</w:t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fldChar w:fldCharType="begin"/>
      </w:r>
      <w:r>
        <w:rPr>
          <w:rFonts w:ascii="Times New Roman" w:cs="Times New Roman" w:hAnsi="Times New Roman"/>
        </w:rPr>
        <w:instrText xml:space="preserve"> PAGEREF _Toc231317096 \h </w:instrText>
      </w:r>
      <w:r>
        <w:rPr>
          <w:rFonts w:ascii="Times New Roman" w:cs="Times New Roman" w:hAnsi="Times New Roman"/>
        </w:rPr>
        <w:fldChar w:fldCharType="separate"/>
      </w:r>
      <w:r>
        <w:rPr>
          <w:rFonts w:ascii="Times New Roman" w:cs="Times New Roman" w:hAnsi="Times New Roman"/>
        </w:rPr>
        <w:t>3</w:t>
      </w:r>
      <w:r>
        <w:rPr>
          <w:rFonts w:ascii="Times New Roman" w:cs="Times New Roman" w:hAnsi="Times New Roman"/>
        </w:rPr>
        <w:fldChar w:fldCharType="end"/>
      </w:r>
      <w:r>
        <w:fldChar w:fldCharType="end"/>
      </w:r>
    </w:p>
    <w:p>
      <w:pPr>
        <w:pStyle w:val="18"/>
        <w:tabs>
          <w:tab w:val="right" w:leader="dot" w:pos="8296"/>
        </w:tabs>
        <w:ind w:firstLineChars="0" w:firstLine="0"/>
        <w:rPr>
          <w:rFonts w:ascii="Times New Roman" w:eastAsia="宋体" w:cs="Times New Roman" w:hAnsi="Times New Roman"/>
          <w:sz w:val="21"/>
          <w:szCs w:val="22"/>
        </w:rPr>
      </w:pPr>
      <w:r>
        <w:fldChar w:fldCharType="begin"/>
      </w:r>
      <w:r>
        <w:instrText>Hyperlink \l "_Toc231317098"</w:instrText>
      </w:r>
      <w:r>
        <w:fldChar w:fldCharType="separate"/>
      </w:r>
      <w:r>
        <w:rPr>
          <w:rFonts w:ascii="Times New Roman" w:eastAsia="黑体" w:cs="Times New Roman" w:hAnsi="Times New Roman"/>
          <w:u w:val="none"/>
        </w:rPr>
        <w:t>【光伏贸易措施】</w:t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fldChar w:fldCharType="begin"/>
      </w:r>
      <w:r>
        <w:rPr>
          <w:rFonts w:ascii="Times New Roman" w:cs="Times New Roman" w:hAnsi="Times New Roman"/>
        </w:rPr>
        <w:instrText xml:space="preserve"> PAGEREF _Toc231317098 \h </w:instrText>
      </w:r>
      <w:r>
        <w:rPr>
          <w:rFonts w:ascii="Times New Roman" w:cs="Times New Roman" w:hAnsi="Times New Roman"/>
        </w:rPr>
        <w:fldChar w:fldCharType="separate"/>
      </w:r>
      <w:r>
        <w:rPr>
          <w:rFonts w:ascii="Times New Roman" w:cs="Times New Roman" w:hAnsi="Times New Roman"/>
        </w:rPr>
        <w:t>4</w:t>
      </w:r>
      <w:r>
        <w:rPr>
          <w:rFonts w:ascii="Times New Roman" w:cs="Times New Roman" w:hAnsi="Times New Roman"/>
        </w:rPr>
        <w:fldChar w:fldCharType="end"/>
      </w:r>
      <w:r>
        <w:fldChar w:fldCharType="end"/>
      </w:r>
    </w:p>
    <w:p>
      <w:pPr>
        <w:pStyle w:val="18"/>
        <w:tabs>
          <w:tab w:val="right" w:leader="dot" w:pos="8296"/>
        </w:tabs>
        <w:ind w:firstLineChars="0" w:firstLine="0"/>
        <w:rPr>
          <w:rFonts w:ascii="Times New Roman" w:cs="Times New Roman" w:hAnsi="Times New Roman"/>
          <w:szCs w:val="32"/>
        </w:rPr>
      </w:pPr>
      <w:r>
        <w:fldChar w:fldCharType="begin"/>
      </w:r>
      <w:r>
        <w:instrText>Hyperlink \l "_Toc231317099"</w:instrText>
      </w:r>
      <w:r>
        <w:fldChar w:fldCharType="separate"/>
      </w:r>
      <w:r>
        <w:rPr>
          <w:rFonts w:ascii="Times New Roman" w:eastAsia="方正小标宋_GBK" w:cs="Times New Roman" w:hAnsi="Times New Roman"/>
          <w:bCs/>
          <w:kern w:val="44"/>
        </w:rPr>
        <w:t>萨拉热窝州通过《特许经营权法修正案》，消除光伏发电行政障碍</w:t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fldChar w:fldCharType="begin"/>
      </w:r>
      <w:r>
        <w:rPr>
          <w:rFonts w:ascii="Times New Roman" w:cs="Times New Roman" w:hAnsi="Times New Roman"/>
        </w:rPr>
        <w:instrText xml:space="preserve"> PAGEREF _Toc231317099 \h </w:instrText>
      </w:r>
      <w:r>
        <w:rPr>
          <w:rFonts w:ascii="Times New Roman" w:cs="Times New Roman" w:hAnsi="Times New Roman"/>
        </w:rPr>
        <w:fldChar w:fldCharType="separate"/>
      </w:r>
      <w:r>
        <w:rPr>
          <w:rFonts w:ascii="Times New Roman" w:cs="Times New Roman" w:hAnsi="Times New Roman"/>
        </w:rPr>
        <w:t>4</w:t>
      </w:r>
      <w:r>
        <w:rPr>
          <w:rFonts w:ascii="Times New Roman" w:cs="Times New Roman" w:hAnsi="Times New Roman"/>
        </w:rPr>
        <w:fldChar w:fldCharType="end"/>
      </w:r>
      <w:r>
        <w:fldChar w:fldCharType="end"/>
      </w:r>
      <w:r>
        <w:rPr>
          <w:rFonts w:ascii="Times New Roman" w:cs="Times New Roman" w:hAnsi="Times New Roman"/>
          <w:szCs w:val="32"/>
        </w:rPr>
        <w:fldChar w:fldCharType="end"/>
      </w:r>
    </w:p>
    <w:p>
      <w:pPr>
        <w:pStyle w:val="1"/>
        <w:jc w:val="both"/>
        <w:rPr>
          <w:rFonts w:ascii="Times New Roman" w:hAnsi="Times New Roman"/>
          <w:sz w:val="32"/>
          <w:szCs w:val="32"/>
        </w:rPr>
        <w:sectPr>
          <w:footerReference w:type="default" r:id="rId2"/>
          <w:pgSz w:w="11906" w:h="16838"/>
          <w:pgMar w:top="1440" w:right="1800" w:bottom="1440" w:left="1800" w:header="851" w:footer="992" w:gutter="0"/>
          <w:docGrid w:type="lines" w:linePitch="312" w:charSpace="0"/>
        </w:sectPr>
      </w:pPr>
    </w:p>
    <w:p>
      <w:pPr>
        <w:pStyle w:val="1"/>
        <w:spacing w:before="100" w:after="100"/>
        <w:ind w:firstLineChars="0" w:firstLine="0"/>
        <w:jc w:val="both"/>
        <w:rPr>
          <w:rFonts w:ascii="Times New Roman" w:hAnsi="Times New Roman"/>
          <w:b w:val="0"/>
          <w:sz w:val="32"/>
          <w:szCs w:val="32"/>
        </w:rPr>
      </w:pPr>
      <w:bookmarkStart w:id="2" w:name="_Toc14866"/>
      <w:bookmarkStart w:id="3" w:name="_Toc231317093"/>
      <w:bookmarkEnd w:id="0"/>
      <w:r>
        <w:rPr>
          <w:rFonts w:ascii="Times New Roman" w:hAnsi="Times New Roman"/>
          <w:b w:val="0"/>
          <w:sz w:val="32"/>
          <w:szCs w:val="32"/>
        </w:rPr>
        <w:t>【</w:t>
      </w:r>
      <w:r>
        <w:rPr>
          <w:rFonts w:ascii="Times New Roman" w:hAnsi="Times New Roman"/>
          <w:sz w:val="32"/>
          <w:szCs w:val="32"/>
        </w:rPr>
        <w:t>光伏</w:t>
      </w:r>
      <w:r>
        <w:rPr>
          <w:rFonts w:ascii="Times New Roman" w:hAnsi="Times New Roman"/>
          <w:sz w:val="32"/>
          <w:szCs w:val="32"/>
        </w:rPr>
        <w:t>贸易措施</w:t>
      </w:r>
      <w:r>
        <w:rPr>
          <w:rFonts w:ascii="Times New Roman" w:hAnsi="Times New Roman"/>
          <w:b w:val="0"/>
          <w:sz w:val="32"/>
          <w:szCs w:val="32"/>
        </w:rPr>
        <w:t>】</w:t>
      </w:r>
      <w:bookmarkEnd w:id="2"/>
      <w:bookmarkEnd w:id="3"/>
    </w:p>
    <w:p>
      <w:pPr>
        <w:widowControl/>
        <w:spacing w:before="100" w:beforeAutospacing="1" w:after="100" w:afterAutospacing="1" w:line="960" w:lineRule="exact"/>
        <w:ind w:firstLineChars="0" w:firstLine="0"/>
        <w:jc w:val="center"/>
        <w:outlineLvl w:val="0"/>
        <w:rPr>
          <w:rFonts w:ascii="Times New Roman" w:eastAsia="方正小标宋_GBK" w:cs="Times New Roman" w:hAnsi="Times New Roman"/>
          <w:bCs/>
          <w:kern w:val="44"/>
          <w:sz w:val="44"/>
          <w:szCs w:val="48"/>
        </w:rPr>
      </w:pPr>
      <w:bookmarkStart w:id="4" w:name="_Toc231317094"/>
      <w:r>
        <w:rPr>
          <w:rFonts w:ascii="Times New Roman" w:eastAsia="方正小标宋_GBK" w:cs="Times New Roman" w:hAnsi="Times New Roman"/>
          <w:bCs/>
          <w:kern w:val="44"/>
          <w:sz w:val="44"/>
          <w:szCs w:val="48"/>
        </w:rPr>
        <w:t>美国对印度、印度尼西亚及老挝进口的</w:t>
      </w:r>
      <w:bookmarkEnd w:id="4"/>
    </w:p>
    <w:p>
      <w:pPr>
        <w:widowControl/>
        <w:spacing w:before="100" w:beforeAutospacing="1" w:after="100" w:afterAutospacing="1" w:line="960" w:lineRule="exact"/>
        <w:ind w:firstLineChars="0" w:firstLine="0"/>
        <w:jc w:val="center"/>
        <w:outlineLvl w:val="0"/>
        <w:rPr>
          <w:rFonts w:ascii="Times New Roman" w:eastAsia="方正小标宋_GBK" w:cs="Times New Roman" w:hAnsi="Times New Roman"/>
          <w:bCs/>
          <w:kern w:val="44"/>
          <w:sz w:val="44"/>
          <w:szCs w:val="48"/>
        </w:rPr>
      </w:pPr>
      <w:bookmarkStart w:id="5" w:name="_Toc231316884"/>
      <w:bookmarkStart w:id="6" w:name="_Toc231317095"/>
      <w:r>
        <w:rPr>
          <w:rFonts w:ascii="Times New Roman" w:eastAsia="方正小标宋_GBK" w:cs="Times New Roman" w:hAnsi="Times New Roman"/>
          <w:bCs/>
          <w:kern w:val="44"/>
          <w:sz w:val="44"/>
          <w:szCs w:val="48"/>
        </w:rPr>
        <w:t>太阳能产品征收反倾销税</w:t>
      </w:r>
      <w:bookmarkEnd w:id="5"/>
      <w:bookmarkEnd w:id="6"/>
    </w:p>
    <w:p>
      <w:pPr>
        <w:pStyle w:val="15"/>
        <w:spacing w:line="360" w:lineRule="exact"/>
        <w:ind w:firstLineChars="0" w:firstLine="0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日期：2026-04-28 来源：北极星太阳能光伏网</w:t>
      </w:r>
    </w:p>
    <w:p>
      <w:pPr>
        <w:pStyle w:val="15"/>
        <w:spacing w:line="360" w:lineRule="exact"/>
        <w:ind w:firstLineChars="0" w:firstLine="0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https://guangfu.bjx.com.cn/news/20260428/1493705.shtml</w:t>
      </w:r>
    </w:p>
    <w:p>
      <w:pPr>
        <w:pStyle w:val="19"/>
        <w:spacing w:beforeAutospacing="0" w:afterAutospacing="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/>
          <w:kern w:val="2"/>
          <w:sz w:val="32"/>
        </w:rPr>
        <w:t>2026年4月28日消息，美国商务部裁定对印度、印度尼西亚、老挝进口太阳能产品征收初步反倾销税，倾销幅度分别为印度123.04%、印尼35.17%、老挝22.46%。</w:t>
      </w:r>
    </w:p>
    <w:p>
      <w:pPr>
        <w:pStyle w:val="19"/>
        <w:spacing w:beforeAutospacing="0" w:afterAutospacing="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/>
          <w:kern w:val="2"/>
          <w:sz w:val="32"/>
        </w:rPr>
        <w:t>本次调查由美国本土光伏企业联盟申诉发起，在2026年2月反补贴初裁基础上加征反倾销税，叠加后印度综合税率约234%、印尼综合税率区间为121% 至178%；老挝综合初步税率约为103%。</w:t>
      </w:r>
    </w:p>
    <w:p>
      <w:pPr>
        <w:pStyle w:val="19"/>
        <w:spacing w:beforeAutospacing="0" w:afterAutospacing="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/>
          <w:kern w:val="2"/>
          <w:sz w:val="32"/>
        </w:rPr>
        <w:t>美国海关与边境保护局（CBP）现已要求进口商按照上述初步税率缴纳现金保证金，即刻生效。此次被针对的国家在美国光伏供应链中占比极高。官方数据显示，2025 年美国从印度、印度尼西亚、老挝进口的</w:t>
      </w:r>
      <w:r>
        <w:rPr>
          <w:rFonts w:ascii="Times New Roman" w:hAnsi="Times New Roman"/>
          <w:kern w:val="2"/>
          <w:sz w:val="32"/>
        </w:rPr>
        <w:fldChar w:fldCharType="begin"/>
      </w:r>
      <w:r>
        <w:instrText>HYPERLINK "https://guangfu.bjx.com.cn/topics/guangfuchanpin/"</w:instrText>
      </w:r>
      <w:r>
        <w:rPr>
          <w:rFonts w:ascii="Times New Roman" w:hAnsi="Times New Roman"/>
          <w:kern w:val="2"/>
          <w:sz w:val="32"/>
        </w:rPr>
        <w:fldChar w:fldCharType="separate"/>
      </w:r>
      <w:r>
        <w:rPr>
          <w:rFonts w:ascii="Times New Roman" w:hAnsi="Times New Roman"/>
          <w:kern w:val="2"/>
          <w:sz w:val="32"/>
        </w:rPr>
        <w:t>光伏产品</w:t>
      </w:r>
      <w:r>
        <w:rPr>
          <w:rFonts w:ascii="Times New Roman" w:hAnsi="Times New Roman"/>
          <w:kern w:val="2"/>
          <w:sz w:val="32"/>
        </w:rPr>
        <w:fldChar w:fldCharType="end"/>
      </w:r>
      <w:r>
        <w:rPr>
          <w:rFonts w:ascii="Times New Roman" w:hAnsi="Times New Roman"/>
          <w:kern w:val="2"/>
          <w:sz w:val="32"/>
        </w:rPr>
        <w:t>规模达45亿美元，约占全美光伏进口总量的三分之二。印度、印尼最终裁定预计2026年7月13日公布，老挝预计2026年9月9日落地。美国国际贸易委员会的最终损害裁定目前定于 2026年10月19日发布。若该委员会作出否定性裁定，相关调查将终止，且已收取的全部保证金予以退还；若作出肯定性裁定，美国将于 2026年10月26日正式发布最终关税令。</w:t>
      </w:r>
    </w:p>
    <w:p>
      <w:pPr>
        <w:widowControl/>
        <w:spacing w:before="100" w:beforeAutospacing="1" w:after="100" w:afterAutospacing="1" w:line="960" w:lineRule="exact"/>
        <w:ind w:firstLineChars="0" w:firstLine="0"/>
        <w:jc w:val="center"/>
        <w:outlineLvl w:val="0"/>
        <w:rPr>
          <w:rFonts w:ascii="Times New Roman" w:eastAsia="方正小标宋_GBK" w:cs="Times New Roman" w:hAnsi="Times New Roman"/>
          <w:bCs/>
          <w:kern w:val="44"/>
          <w:sz w:val="44"/>
          <w:szCs w:val="48"/>
        </w:rPr>
      </w:pPr>
      <w:bookmarkStart w:id="7" w:name="_Toc231317096"/>
      <w:r>
        <w:rPr>
          <w:rFonts w:ascii="Times New Roman" w:eastAsia="方正小标宋_GBK" w:cs="Times New Roman" w:hAnsi="Times New Roman"/>
          <w:bCs/>
          <w:kern w:val="44"/>
          <w:sz w:val="44"/>
          <w:szCs w:val="48"/>
        </w:rPr>
        <w:t>美国ITC发布对光伏干线总线电缆部件</w:t>
      </w:r>
      <w:bookmarkEnd w:id="7"/>
    </w:p>
    <w:p>
      <w:pPr>
        <w:widowControl/>
        <w:spacing w:before="100" w:beforeAutospacing="1" w:after="100" w:afterAutospacing="1" w:line="960" w:lineRule="exact"/>
        <w:ind w:firstLineChars="0" w:firstLine="0"/>
        <w:jc w:val="center"/>
        <w:outlineLvl w:val="0"/>
        <w:rPr>
          <w:rFonts w:ascii="Times New Roman" w:eastAsia="方正小标宋_GBK" w:cs="Times New Roman" w:hAnsi="Times New Roman"/>
          <w:bCs/>
          <w:kern w:val="44"/>
          <w:sz w:val="44"/>
          <w:szCs w:val="48"/>
        </w:rPr>
      </w:pPr>
      <w:bookmarkStart w:id="8" w:name="_Toc231316886"/>
      <w:bookmarkStart w:id="9" w:name="_Toc231317097"/>
      <w:r>
        <w:rPr>
          <w:rFonts w:ascii="Times New Roman" w:eastAsia="方正小标宋_GBK" w:cs="Times New Roman" w:hAnsi="Times New Roman"/>
          <w:bCs/>
          <w:kern w:val="44"/>
          <w:sz w:val="44"/>
          <w:szCs w:val="48"/>
        </w:rPr>
        <w:t>及其组件的337部分终裁</w:t>
      </w:r>
      <w:bookmarkEnd w:id="8"/>
      <w:bookmarkEnd w:id="9"/>
    </w:p>
    <w:p>
      <w:pPr>
        <w:pStyle w:val="15"/>
        <w:spacing w:line="360" w:lineRule="exact"/>
        <w:ind w:firstLineChars="0" w:firstLine="0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日期：2026-05-06 来源：中国贸易救济信息网</w:t>
      </w:r>
    </w:p>
    <w:p>
      <w:pPr>
        <w:pStyle w:val="15"/>
        <w:spacing w:line="360" w:lineRule="exact"/>
        <w:ind w:firstLineChars="0" w:firstLine="0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https://cacs.mofcom.gov.cn/ </w:t>
      </w:r>
    </w:p>
    <w:p>
      <w:pPr>
        <w:pStyle w:val="19"/>
        <w:spacing w:beforeAutospacing="0" w:afterAutospacing="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/>
          <w:kern w:val="2"/>
          <w:sz w:val="32"/>
        </w:rPr>
        <w:t>2025年1月10日，美国Shoals Technologies Group, LLC of Portland, Tennessee向美国ITC提起337调查（编号337-TA-1438），指控美国Voltage, LLC, Chapel Hill, N.C.、中国浙江Ningbo Voltage Smart Production Co., Ningbo, China宁波小伏科技有限公司的光伏干线总线电缆部件侵犯其专利，申请发布排除令与禁止令。</w:t>
      </w:r>
    </w:p>
    <w:p>
      <w:pPr>
        <w:pStyle w:val="19"/>
        <w:spacing w:beforeAutospacing="0" w:afterAutospacing="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/>
          <w:kern w:val="2"/>
          <w:sz w:val="32"/>
        </w:rPr>
        <w:t>案件历经多次初裁、复审波折：2025年行政法官曾认定涉案专利不具备可执行性，后又部分批准原告诉求；2026年2月9日ITC初裁判定侵权，建议对被告产品发布有限排除令。</w:t>
      </w:r>
    </w:p>
    <w:p>
      <w:pPr>
        <w:pStyle w:val="19"/>
        <w:spacing w:beforeAutospacing="0" w:afterAutospacing="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/>
          <w:kern w:val="2"/>
          <w:sz w:val="32"/>
        </w:rPr>
        <w:t>2026年4月30日，美国ITC发布本案337部分终裁，仅就原告是否满足美国国内产业要件进行复审，其余事项不予复审，书面意见提交截止时间为2026年5月15日。</w:t>
      </w:r>
    </w:p>
    <w:p>
      <w:pPr>
        <w:pStyle w:val="19"/>
        <w:spacing w:beforeAutospacing="0" w:afterAutospacing="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/>
          <w:kern w:val="2"/>
          <w:sz w:val="32"/>
        </w:rPr>
        <w:t>出口建议：涉案及同类对美出货企业，应立即排查自有产品与涉案专利的设计差异，提前完成专利规避设计与产品迭代。所有计划出口美国的光伏线缆类产品，务必事前完成完整FTO专利自由实施风险检索。同时降低对单一美国市场的出口依赖，完善企业自身专利布局储备，构建知识产权壁垒，有效对冲后续贸易制裁与专利纠纷带来的冲击。</w:t>
      </w:r>
    </w:p>
    <w:p>
      <w:pPr>
        <w:pStyle w:val="1"/>
        <w:spacing w:before="100" w:after="100"/>
        <w:ind w:firstLineChars="0" w:firstLine="0"/>
        <w:jc w:val="both"/>
        <w:rPr>
          <w:rFonts w:ascii="Times New Roman" w:hAnsi="Times New Roman"/>
          <w:b w:val="0"/>
          <w:sz w:val="32"/>
          <w:szCs w:val="32"/>
        </w:rPr>
      </w:pPr>
      <w:bookmarkStart w:id="10" w:name="_Toc231317098"/>
      <w:r>
        <w:rPr>
          <w:rFonts w:ascii="Times New Roman" w:hAnsi="Times New Roman"/>
          <w:b w:val="0"/>
          <w:sz w:val="32"/>
          <w:szCs w:val="32"/>
        </w:rPr>
        <w:t>【</w:t>
      </w:r>
      <w:r>
        <w:rPr>
          <w:rFonts w:ascii="Times New Roman" w:hAnsi="Times New Roman"/>
          <w:sz w:val="32"/>
          <w:szCs w:val="32"/>
        </w:rPr>
        <w:t>光伏</w:t>
      </w:r>
      <w:r>
        <w:rPr>
          <w:rFonts w:ascii="Times New Roman" w:hAnsi="Times New Roman"/>
          <w:sz w:val="32"/>
          <w:szCs w:val="32"/>
        </w:rPr>
        <w:t>产业信息</w:t>
      </w:r>
      <w:r>
        <w:rPr>
          <w:rFonts w:ascii="Times New Roman" w:hAnsi="Times New Roman"/>
          <w:b w:val="0"/>
          <w:sz w:val="32"/>
          <w:szCs w:val="32"/>
        </w:rPr>
        <w:t>】</w:t>
      </w:r>
      <w:bookmarkEnd w:id="10"/>
    </w:p>
    <w:p>
      <w:pPr>
        <w:widowControl/>
        <w:spacing w:before="100" w:beforeAutospacing="1" w:after="100" w:afterAutospacing="1" w:line="960" w:lineRule="exact"/>
        <w:ind w:firstLineChars="0" w:firstLine="0"/>
        <w:jc w:val="center"/>
        <w:outlineLvl w:val="0"/>
        <w:rPr>
          <w:rFonts w:ascii="Times New Roman" w:eastAsia="方正小标宋_GBK" w:cs="Times New Roman" w:hAnsi="Times New Roman"/>
          <w:bCs/>
          <w:kern w:val="44"/>
          <w:sz w:val="44"/>
          <w:szCs w:val="48"/>
        </w:rPr>
      </w:pPr>
      <w:bookmarkStart w:id="11" w:name="_Toc231317099"/>
      <w:r>
        <w:rPr>
          <w:rFonts w:ascii="Times New Roman" w:eastAsia="方正小标宋_GBK" w:cs="Times New Roman" w:hAnsi="Times New Roman"/>
          <w:bCs/>
          <w:kern w:val="44"/>
          <w:sz w:val="44"/>
          <w:szCs w:val="48"/>
        </w:rPr>
        <w:t>萨拉热窝州通过《特许经营权法修正案》，消除光伏发电行政障碍</w:t>
      </w:r>
      <w:bookmarkEnd w:id="11"/>
    </w:p>
    <w:p>
      <w:pPr>
        <w:pStyle w:val="15"/>
        <w:spacing w:line="360" w:lineRule="exact"/>
        <w:ind w:firstLineChars="0" w:firstLine="0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日期：2026-05-09 来源：中国驻波黑大使馆经济商务处</w:t>
      </w:r>
    </w:p>
    <w:p>
      <w:pPr>
        <w:pStyle w:val="15"/>
        <w:spacing w:line="360" w:lineRule="exact"/>
        <w:ind w:firstLineChars="0" w:firstLine="0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https://guangfu.bjx.com.cn </w:t>
      </w:r>
    </w:p>
    <w:p>
      <w:pPr>
        <w:pStyle w:val="19"/>
        <w:spacing w:beforeAutospacing="0" w:afterAutospacing="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/>
          <w:kern w:val="2"/>
          <w:sz w:val="32"/>
        </w:rPr>
        <w:t>波斯尼亚和黑塞哥维那‌萨拉热窝州议会昨日通过《特许经营权法修正案》，旨在消除行政障碍，提高</w:t>
      </w:r>
      <w:r>
        <w:rPr>
          <w:rFonts w:ascii="Times New Roman" w:hAnsi="Times New Roman"/>
          <w:kern w:val="2"/>
          <w:sz w:val="32"/>
        </w:rPr>
        <w:fldChar w:fldCharType="begin"/>
      </w:r>
      <w:r>
        <w:instrText>HYPERLINK "https://guangfu.bjx.com.cn/topics/guangfudianzhan/"</w:instrText>
      </w:r>
      <w:r>
        <w:rPr>
          <w:rFonts w:ascii="Times New Roman" w:hAnsi="Times New Roman"/>
          <w:kern w:val="2"/>
          <w:sz w:val="32"/>
        </w:rPr>
        <w:fldChar w:fldCharType="separate"/>
      </w:r>
      <w:r>
        <w:rPr>
          <w:rFonts w:ascii="Times New Roman" w:hAnsi="Times New Roman"/>
          <w:kern w:val="2"/>
          <w:sz w:val="32"/>
        </w:rPr>
        <w:t>光伏电站</w:t>
      </w:r>
      <w:r>
        <w:rPr>
          <w:rFonts w:ascii="Times New Roman" w:hAnsi="Times New Roman"/>
          <w:kern w:val="2"/>
          <w:sz w:val="32"/>
        </w:rPr>
        <w:fldChar w:fldCharType="end"/>
      </w:r>
      <w:r>
        <w:rPr>
          <w:rFonts w:ascii="Times New Roman" w:hAnsi="Times New Roman"/>
          <w:kern w:val="2"/>
          <w:sz w:val="32"/>
        </w:rPr>
        <w:t>的发电能力。波黑拥有显著的光伏发电潜力，年均太阳辐射量在1240至1600千瓦时/平方米之间，高于欧洲平均水平。开发太阳能对于提高能源效率，系统稳定性、韧性以及增强能源独立性具有重要意义。</w:t>
      </w:r>
    </w:p>
    <w:p>
      <w:pPr>
        <w:pStyle w:val="19"/>
        <w:spacing w:beforeAutospacing="0" w:afterAutospacing="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/>
          <w:kern w:val="2"/>
          <w:sz w:val="32"/>
        </w:rPr>
        <w:t>新法使州级法规与欧盟以指令（EU）2023/2413的形式颁布的可再生能源指令（RED）II的修订版保持一致，并借鉴了欧盟成员国鼓励投资中小型太阳能系统（尤其是私人及商业建筑）的实践经验。</w:t>
      </w:r>
    </w:p>
    <w:p>
      <w:pPr>
        <w:pStyle w:val="19"/>
        <w:spacing w:beforeAutospacing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kern w:val="2"/>
          <w:sz w:val="32"/>
        </w:rPr>
        <w:t>新法案的关键变化在于自用电力生产不再被视为特许经营活动，为自用而发电的法人和产消者及其社区无需签订特许经营权协议。新法预计将减轻企业和公民的行政负担，增加可再生能源产量，并刺激对光伏技术的新投资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6"/>
      </w:tabs>
    </w:pPr>
    <w:r>
      <mc:AlternateContent>
        <mc:Choice Requires="wps">
          <w:drawing>
            <wp:anchor distT="0" distB="0" distL="114298" distR="114298" simplePos="0" relativeHeight="10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09422" cy="355600"/>
              <wp:effectExtent l="0" t="0" r="0" b="0"/>
              <wp:wrapNone/>
              <wp:docPr id="1" name="文本框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509422" cy="355600"/>
                      </a:xfrm>
                      <a:prstGeom prst="rect"/>
                      <a:noFill/>
                      <a:ln w="9525" cmpd="sng" cap="flat">
                        <a:noFill/>
                        <a:prstDash val="solid"/>
                        <a:miter/>
                      </a:ln>
                    </wps:spPr>
                    <wps:txbx id="2">
                      <w:txbxContent>
                        <w:p>
                          <w:pPr>
                            <w:pStyle w:val="16"/>
                            <w:tabs>
                              <w:tab w:val="center" w:pos="4153"/>
                              <w:tab w:val="right" w:pos="8306"/>
                            </w:tabs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1 3" o:spid="_x0000_s3" filled="f" stroked="f" style="position:absolute;margin-left:0.0pt;margin-top:0.0pt;width:40.112007pt;height:28.000004pt;z-index:10;mso-position-horizontal:center;mso-position-horizontal-relative:margin;mso-position-vertical:absolute;mso-wrap-distance-left:8.999863pt;mso-wrap-distance-right:8.999863pt;mso-wrap-style:none;">
              <v:stroke color="#000000"/>
              <v:textbox id="848" inset="0mm,0mm,0mm,0mm" o:insetmode="custom" style="layout-flow:horizontal;v-text-anchor:top;mso-fit-shape-to-text:t;">
                <w:txbxContent>
                  <w:p>
                    <w:pPr>
                      <w:pStyle w:val="16"/>
                      <w:tabs>
                        <w:tab w:val="center" w:pos="4153"/>
                        <w:tab w:val="right" w:pos="8306"/>
                      </w:tabs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1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bordersDoNotSurroundHeader/>
  <w:bordersDoNotSurroundFooter/>
  <w:trackRevisions/>
  <w:defaultTabStop w:val="420"/>
  <w:drawingGridHorizontalSpacing w:val="160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w:docVars>
    <w:docVar w:name="commondata" w:val="eyJoZGlkIjoiNDUyNzVkMDI3MWU4NzNkYjY3YzMxNmUxNDE2YzVlNzY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560" w:lineRule="exact"/>
      <w:ind w:firstLineChars="200" w:firstLine="200"/>
      <w:jc w:val="both"/>
    </w:pPr>
    <w:rPr>
      <w:rFonts w:ascii="Calibri" w:eastAsia="方正仿宋_GBK" w:cs="Arial" w:hAnsi="Calibri"/>
      <w:kern w:val="2"/>
      <w:sz w:val="32"/>
      <w:szCs w:val="24"/>
      <w:lang w:val="en-US" w:eastAsia="zh-CN" w:bidi="ar-SA"/>
    </w:rPr>
  </w:style>
  <w:style w:type="paragraph" w:styleId="1">
    <w:name w:val="heading 1"/>
    <w:basedOn w:val="0"/>
    <w:pPr>
      <w:spacing w:beforeAutospacing="1" w:afterAutospacing="1"/>
      <w:jc w:val="left"/>
      <w:outlineLvl w:val="0"/>
    </w:pPr>
    <w:rPr>
      <w:rFonts w:ascii="宋体" w:eastAsia="宋体" w:cs="Times New Roman"/>
      <w:b/>
      <w:bCs/>
      <w:kern w:val="44"/>
      <w:sz w:val="48"/>
      <w:szCs w:val="48"/>
    </w:rPr>
  </w:style>
  <w:style w:type="paragraph" w:styleId="2">
    <w:name w:val="heading 2"/>
    <w:basedOn w:val="0"/>
    <w:next w:val="0"/>
    <w:pPr>
      <w:keepNext/>
      <w:keepLines/>
      <w:widowControl w:val="0"/>
      <w:jc w:val="center"/>
      <w:outlineLvl w:val="1"/>
    </w:pPr>
    <w:rPr>
      <w:rFonts w:ascii="Calibri Light" w:eastAsia="方正楷体_GBK" w:cs="Times New Roman" w:hAnsi="Calibri Light"/>
      <w:b/>
      <w:bCs/>
      <w:szCs w:val="32"/>
    </w:rPr>
  </w:style>
  <w:style w:type="paragraph" w:styleId="3">
    <w:name w:val="heading 3"/>
    <w:basedOn w:val="0"/>
    <w:next w:val="0"/>
    <w:pPr>
      <w:spacing w:beforeAutospacing="1" w:afterAutospacing="1"/>
      <w:jc w:val="left"/>
      <w:outlineLvl w:val="2"/>
    </w:pPr>
    <w:rPr>
      <w:rFonts w:ascii="宋体" w:eastAsia="宋体" w:cs="Times New Roman"/>
      <w:b/>
      <w:bCs/>
      <w:kern w:val="0"/>
      <w:sz w:val="27"/>
      <w:szCs w:val="27"/>
    </w:rPr>
  </w:style>
  <w:style w:type="paragraph" w:styleId="4">
    <w:name w:val="heading 4"/>
    <w:basedOn w:val="0"/>
    <w:next w:val="0"/>
    <w:pPr>
      <w:keepNext/>
      <w:keepLines/>
      <w:widowControl w:val="0"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10">
    <w:name w:val="Default Paragraph Font"/>
  </w:style>
  <w:style w:type="paragraph" w:styleId="15">
    <w:name w:val="Balloon Text"/>
    <w:basedOn w:val="0"/>
    <w:pPr>
      <w:spacing w:line="240" w:lineRule="auto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7">
    <w:name w:val="header"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8">
    <w:name w:val="toc 1"/>
    <w:basedOn w:val="0"/>
    <w:next w:val="0"/>
  </w:style>
  <w:style w:type="paragraph" w:styleId="19">
    <w:name w:val="Normal (Web)"/>
    <w:basedOn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20">
    <w:name w:val="Strong"/>
    <w:basedOn w:val="10"/>
    <w:rPr>
      <w:b/>
    </w:rPr>
  </w:style>
  <w:style w:type="character" w:styleId="21">
    <w:name w:val="Emphasis"/>
    <w:basedOn w:val="10"/>
    <w:rPr>
      <w:i/>
    </w:rPr>
  </w:style>
  <w:style w:type="character" w:styleId="22">
    <w:name w:val="Hyperlink"/>
    <w:basedOn w:val="10"/>
    <w:rPr>
      <w:color w:val="0000FF"/>
      <w:u w:val="single"/>
    </w:rPr>
  </w:style>
  <w:style w:type="paragraph" w:customStyle="1" w:styleId="23">
    <w:name w:val="WPSOffice手动目录 1"/>
    <w:rPr>
      <w:rFonts w:ascii="Calibri" w:eastAsia="宋体" w:cs="Arial" w:hAnsi="Calibri"/>
      <w:lang w:val="en-US" w:eastAsia="zh-CN" w:bidi="ar-SA"/>
    </w:rPr>
  </w:style>
  <w:style w:type="character" w:customStyle="1" w:styleId="24">
    <w:name w:val="不明显强调1"/>
    <w:basedOn w:val="10"/>
    <w:rPr>
      <w:i/>
      <w:iCs/>
      <w:color w:val="7F7F7F"/>
    </w:rPr>
  </w:style>
  <w:style w:type="character" w:customStyle="1" w:styleId="25">
    <w:name w:val="item"/>
    <w:basedOn w:val="10"/>
  </w:style>
  <w:style w:type="character" w:customStyle="1" w:styleId="26">
    <w:name w:val="txt"/>
    <w:basedOn w:val="10"/>
  </w:style>
  <w:style w:type="character" w:customStyle="1" w:styleId="27">
    <w:name w:val="bjh-p"/>
    <w:basedOn w:val="1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4</Pages>
  <Words>1344</Words>
  <Characters>1698</Characters>
  <Lines>73</Lines>
  <Paragraphs>29</Paragraphs>
  <CharactersWithSpaces>1727</CharactersWithSpaces>
  <Company>Organization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86189</dc:creator>
  <cp:lastModifiedBy>申德生</cp:lastModifiedBy>
  <cp:revision>2</cp:revision>
  <dcterms:created xsi:type="dcterms:W3CDTF">2026-06-04T01:53:00Z</dcterms:created>
  <dcterms:modified xsi:type="dcterms:W3CDTF">2026-06-05T01:43:05Z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2052-12.1.0.25835</vt:lpwstr>
  </property>
  <property fmtid="{D5CDD505-2E9C-101B-9397-08002B2CF9AE}" pid="3" name="ICV">
    <vt:lpwstr>16BD2586B13745CBB78290965E8712D4_13</vt:lpwstr>
  </property>
  <property fmtid="{D5CDD505-2E9C-101B-9397-08002B2CF9AE}" pid="4" name="KSOTemplateDocerSaveRecord">
    <vt:lpwstr>eyJoZGlkIjoiNDUyNzVkMDI3MWU4NzNkYjY3YzMxNmUxNDE2YzVlNzYiLCJ1c2VySWQiOiI2OTc5MDIifQ==</vt:lpwstr>
  </property>
</Properties>
</file>