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240" w:lineRule="auto"/>
        <w:ind w:firstLineChars="0" w:firstLine="0"/>
        <w:jc w:val="center"/>
        <w:rPr>
          <w:rFonts w:ascii="Times New Roman" w:eastAsia="宋体" w:cs="Times New Roman" w:hAnsi="Times New Roman"/>
          <w:szCs w:val="32"/>
        </w:rPr>
      </w:pPr>
      <w:bookmarkStart w:id="0" w:name="_Toc30197"/>
      <w:bookmarkStart w:id="1" w:name="_GoBack"/>
      <w:bookmarkEnd w:id="1"/>
      <w:r>
        <w:rPr>
          <w:rFonts w:ascii="Times New Roman" w:eastAsia="宋体" w:cs="Times New Roman" w:hAnsi="Times New Roman"/>
          <w:szCs w:val="32"/>
        </w:rPr>
        <w:t>目录</w:t>
      </w:r>
    </w:p>
    <w:p>
      <w:pPr>
        <w:pStyle w:val="18"/>
        <w:tabs>
          <w:tab w:val="right" w:leader="dot" w:pos="8296"/>
        </w:tabs>
        <w:ind w:firstLineChars="0" w:firstLine="0"/>
        <w:rPr>
          <w:rFonts w:ascii="Times New Roman" w:eastAsia="宋体" w:cs="Times New Roman" w:hAnsi="Times New Roman"/>
          <w:sz w:val="21"/>
          <w:szCs w:val="22"/>
        </w:rPr>
      </w:pPr>
      <w:r>
        <w:rPr>
          <w:rFonts w:ascii="Times New Roman" w:cs="Times New Roman" w:hAnsi="Times New Roman"/>
          <w:szCs w:val="32"/>
        </w:rPr>
        <w:fldChar w:fldCharType="begin"/>
      </w:r>
      <w:r>
        <w:rPr>
          <w:rFonts w:ascii="Times New Roman" w:cs="Times New Roman" w:hAnsi="Times New Roman"/>
          <w:szCs w:val="32"/>
        </w:rPr>
        <w:instrText xml:space="preserve">TOC \o "1-1" \h \u </w:instrText>
      </w:r>
      <w:r>
        <w:rPr>
          <w:rFonts w:ascii="Times New Roman" w:cs="Times New Roman" w:hAnsi="Times New Roman"/>
          <w:szCs w:val="32"/>
        </w:rPr>
        <w:fldChar w:fldCharType="separate"/>
      </w:r>
      <w:r>
        <w:fldChar w:fldCharType="begin"/>
      </w:r>
      <w:r>
        <w:instrText>Hyperlink \l "_Toc231317834"</w:instrText>
      </w:r>
      <w:r>
        <w:fldChar w:fldCharType="separate"/>
      </w:r>
      <w:r>
        <w:rPr>
          <w:rFonts w:ascii="黑体" w:eastAsia="黑体" w:cs="Times New Roman"/>
          <w:u w:val="none"/>
        </w:rPr>
        <w:t>【光伏贸易措施】</w:t>
      </w: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</w:rPr>
        <w:fldChar w:fldCharType="begin"/>
      </w:r>
      <w:r>
        <w:rPr>
          <w:rFonts w:ascii="Times New Roman" w:cs="Times New Roman" w:hAnsi="Times New Roman"/>
        </w:rPr>
        <w:instrText xml:space="preserve"> PAGEREF _Toc231317834 \h </w:instrText>
      </w:r>
      <w:r>
        <w:rPr>
          <w:rFonts w:ascii="Times New Roman" w:cs="Times New Roman" w:hAnsi="Times New Roman"/>
        </w:rPr>
        <w:fldChar w:fldCharType="separate"/>
      </w:r>
      <w:r>
        <w:rPr>
          <w:rFonts w:ascii="Times New Roman" w:cs="Times New Roman" w:hAnsi="Times New Roman"/>
        </w:rPr>
        <w:t>2</w:t>
      </w:r>
      <w:r>
        <w:rPr>
          <w:rFonts w:ascii="Times New Roman" w:cs="Times New Roman" w:hAnsi="Times New Roman"/>
        </w:rPr>
        <w:fldChar w:fldCharType="end"/>
      </w:r>
      <w:r>
        <w:fldChar w:fldCharType="end"/>
      </w:r>
    </w:p>
    <w:p>
      <w:pPr>
        <w:pStyle w:val="18"/>
        <w:tabs>
          <w:tab w:val="right" w:leader="dot" w:pos="8296"/>
        </w:tabs>
        <w:ind w:firstLineChars="0" w:firstLine="0"/>
        <w:rPr>
          <w:rFonts w:ascii="Times New Roman" w:eastAsia="宋体" w:cs="Times New Roman" w:hAnsi="Times New Roman"/>
          <w:sz w:val="21"/>
          <w:szCs w:val="22"/>
        </w:rPr>
      </w:pPr>
      <w:r>
        <w:fldChar w:fldCharType="begin"/>
      </w:r>
      <w:r>
        <w:instrText>Hyperlink \l "_Toc231317835"</w:instrText>
      </w:r>
      <w:r>
        <w:fldChar w:fldCharType="separate"/>
      </w:r>
      <w:r>
        <w:rPr>
          <w:rFonts w:ascii="Times New Roman" w:eastAsia="方正小标宋_GBK" w:cs="Times New Roman" w:hAnsi="Times New Roman"/>
          <w:bCs/>
          <w:kern w:val="44"/>
        </w:rPr>
        <w:t>欧盟发布光伏系统用低压开关设备和控制设备组件标准</w:t>
      </w: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</w:rPr>
        <w:fldChar w:fldCharType="begin"/>
      </w:r>
      <w:r>
        <w:rPr>
          <w:rFonts w:ascii="Times New Roman" w:cs="Times New Roman" w:hAnsi="Times New Roman"/>
        </w:rPr>
        <w:instrText xml:space="preserve"> PAGEREF _Toc231317835 \h </w:instrText>
      </w:r>
      <w:r>
        <w:rPr>
          <w:rFonts w:ascii="Times New Roman" w:cs="Times New Roman" w:hAnsi="Times New Roman"/>
        </w:rPr>
        <w:fldChar w:fldCharType="separate"/>
      </w:r>
      <w:r>
        <w:rPr>
          <w:rFonts w:ascii="Times New Roman" w:cs="Times New Roman" w:hAnsi="Times New Roman"/>
        </w:rPr>
        <w:t>2</w:t>
      </w:r>
      <w:r>
        <w:rPr>
          <w:rFonts w:ascii="Times New Roman" w:cs="Times New Roman" w:hAnsi="Times New Roman"/>
        </w:rPr>
        <w:fldChar w:fldCharType="end"/>
      </w:r>
      <w:r>
        <w:fldChar w:fldCharType="end"/>
      </w:r>
    </w:p>
    <w:p>
      <w:pPr>
        <w:pStyle w:val="18"/>
        <w:tabs>
          <w:tab w:val="right" w:leader="dot" w:pos="8296"/>
        </w:tabs>
        <w:ind w:firstLineChars="0" w:firstLine="0"/>
        <w:rPr>
          <w:rFonts w:ascii="Times New Roman" w:eastAsia="宋体" w:cs="Times New Roman" w:hAnsi="Times New Roman"/>
          <w:sz w:val="21"/>
          <w:szCs w:val="22"/>
        </w:rPr>
      </w:pPr>
      <w:r>
        <w:fldChar w:fldCharType="begin"/>
      </w:r>
      <w:r>
        <w:instrText>Hyperlink \l "_Toc231317837"</w:instrText>
      </w:r>
      <w:r>
        <w:fldChar w:fldCharType="separate"/>
      </w:r>
      <w:r>
        <w:rPr>
          <w:rFonts w:ascii="黑体" w:eastAsia="黑体" w:cs="Times New Roman"/>
          <w:u w:val="none"/>
        </w:rPr>
        <w:t>【光伏产业信息】</w:t>
      </w: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</w:rPr>
        <w:fldChar w:fldCharType="begin"/>
      </w:r>
      <w:r>
        <w:rPr>
          <w:rFonts w:ascii="Times New Roman" w:cs="Times New Roman" w:hAnsi="Times New Roman"/>
        </w:rPr>
        <w:instrText xml:space="preserve"> PAGEREF _Toc231317837 \h </w:instrText>
      </w:r>
      <w:r>
        <w:rPr>
          <w:rFonts w:ascii="Times New Roman" w:cs="Times New Roman" w:hAnsi="Times New Roman"/>
        </w:rPr>
        <w:fldChar w:fldCharType="separate"/>
      </w:r>
      <w:r>
        <w:rPr>
          <w:rFonts w:ascii="Times New Roman" w:cs="Times New Roman" w:hAnsi="Times New Roman"/>
        </w:rPr>
        <w:t>3</w:t>
      </w:r>
      <w:r>
        <w:rPr>
          <w:rFonts w:ascii="Times New Roman" w:cs="Times New Roman" w:hAnsi="Times New Roman"/>
        </w:rPr>
        <w:fldChar w:fldCharType="end"/>
      </w:r>
      <w:r>
        <w:fldChar w:fldCharType="end"/>
      </w:r>
    </w:p>
    <w:p>
      <w:pPr>
        <w:pStyle w:val="18"/>
        <w:tabs>
          <w:tab w:val="right" w:leader="dot" w:pos="8296"/>
        </w:tabs>
        <w:ind w:firstLineChars="0" w:firstLine="0"/>
        <w:rPr>
          <w:rFonts w:ascii="Times New Roman" w:cs="Times New Roman" w:hAnsi="Times New Roman"/>
          <w:szCs w:val="32"/>
        </w:rPr>
      </w:pPr>
      <w:r>
        <w:fldChar w:fldCharType="begin"/>
      </w:r>
      <w:r>
        <w:instrText>Hyperlink \l "_Toc231317838"</w:instrText>
      </w:r>
      <w:r>
        <w:fldChar w:fldCharType="separate"/>
      </w:r>
      <w:r>
        <w:rPr>
          <w:rFonts w:ascii="Times New Roman" w:eastAsia="方正小标宋_GBK" w:cs="Times New Roman" w:hAnsi="Times New Roman"/>
          <w:bCs/>
          <w:kern w:val="44"/>
        </w:rPr>
        <w:t>泰国就劣质太阳能安装展开调查</w:t>
      </w: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</w:rPr>
        <w:fldChar w:fldCharType="begin"/>
      </w:r>
      <w:r>
        <w:rPr>
          <w:rFonts w:ascii="Times New Roman" w:cs="Times New Roman" w:hAnsi="Times New Roman"/>
        </w:rPr>
        <w:instrText xml:space="preserve"> PAGEREF _Toc231317838 \h </w:instrText>
      </w:r>
      <w:r>
        <w:rPr>
          <w:rFonts w:ascii="Times New Roman" w:cs="Times New Roman" w:hAnsi="Times New Roman"/>
        </w:rPr>
        <w:fldChar w:fldCharType="separate"/>
      </w:r>
      <w:r>
        <w:rPr>
          <w:rFonts w:ascii="Times New Roman" w:cs="Times New Roman" w:hAnsi="Times New Roman"/>
        </w:rPr>
        <w:t>3</w:t>
      </w:r>
      <w:r>
        <w:rPr>
          <w:rFonts w:ascii="Times New Roman" w:cs="Times New Roman" w:hAnsi="Times New Roman"/>
        </w:rPr>
        <w:fldChar w:fldCharType="end"/>
      </w:r>
      <w:r>
        <w:fldChar w:fldCharType="end"/>
      </w:r>
      <w:r>
        <w:rPr>
          <w:rFonts w:ascii="Times New Roman" w:cs="Times New Roman" w:hAnsi="Times New Roman"/>
          <w:szCs w:val="32"/>
        </w:rPr>
        <w:fldChar w:fldCharType="end"/>
      </w:r>
    </w:p>
    <w:p>
      <w:pPr>
        <w:pStyle w:val="1"/>
        <w:jc w:val="both"/>
        <w:rPr>
          <w:rFonts w:ascii="Times New Roman" w:hAnsi="Times New Roman"/>
          <w:b w:val="0"/>
          <w:sz w:val="32"/>
          <w:szCs w:val="32"/>
        </w:rPr>
        <w:sectPr>
          <w:footerReference w:type="default" r:id="rId2"/>
          <w:pgSz w:w="11906" w:h="16838"/>
          <w:pgMar w:top="1440" w:right="1800" w:bottom="1440" w:left="1800" w:header="851" w:footer="992" w:gutter="0"/>
          <w:docGrid w:type="lines" w:linePitch="312" w:charSpace="0"/>
        </w:sectPr>
      </w:pPr>
    </w:p>
    <w:p>
      <w:pPr>
        <w:pStyle w:val="1"/>
        <w:spacing w:before="100" w:after="100"/>
        <w:ind w:firstLineChars="0" w:firstLine="0"/>
        <w:jc w:val="both"/>
        <w:rPr>
          <w:rFonts w:ascii="Times New Roman" w:hAnsi="Times New Roman"/>
          <w:b w:val="0"/>
          <w:sz w:val="32"/>
          <w:szCs w:val="32"/>
        </w:rPr>
      </w:pPr>
      <w:bookmarkStart w:id="2" w:name="_Toc14866"/>
      <w:bookmarkStart w:id="3" w:name="_Toc231317834"/>
      <w:bookmarkEnd w:id="0"/>
      <w:r>
        <w:rPr>
          <w:rFonts w:ascii="Times New Roman" w:hAnsi="Times New Roman"/>
          <w:b w:val="0"/>
          <w:sz w:val="32"/>
          <w:szCs w:val="32"/>
        </w:rPr>
        <w:t>【</w:t>
      </w:r>
      <w:r>
        <w:rPr>
          <w:rFonts w:ascii="Times New Roman" w:hAnsi="Times New Roman"/>
          <w:sz w:val="32"/>
          <w:szCs w:val="32"/>
        </w:rPr>
        <w:t>光伏贸易措施</w:t>
      </w:r>
      <w:r>
        <w:rPr>
          <w:rFonts w:ascii="Times New Roman" w:hAnsi="Times New Roman"/>
          <w:b w:val="0"/>
          <w:sz w:val="32"/>
          <w:szCs w:val="32"/>
        </w:rPr>
        <w:t>】</w:t>
      </w:r>
      <w:bookmarkEnd w:id="2"/>
      <w:bookmarkEnd w:id="3"/>
    </w:p>
    <w:p>
      <w:pPr>
        <w:widowControl/>
        <w:spacing w:before="100" w:beforeAutospacing="1" w:after="100" w:afterAutospacing="1" w:line="960" w:lineRule="exact"/>
        <w:ind w:firstLineChars="0" w:firstLine="0"/>
        <w:jc w:val="center"/>
        <w:outlineLvl w:val="0"/>
        <w:rPr>
          <w:rFonts w:ascii="Times New Roman" w:eastAsia="方正小标宋_GBK" w:cs="Times New Roman" w:hAnsi="Times New Roman"/>
          <w:bCs/>
          <w:kern w:val="44"/>
          <w:sz w:val="44"/>
          <w:szCs w:val="48"/>
        </w:rPr>
      </w:pPr>
      <w:bookmarkStart w:id="4" w:name="_Toc231317835"/>
      <w:r>
        <w:rPr>
          <w:rFonts w:ascii="Times New Roman" w:eastAsia="方正小标宋_GBK" w:cs="Times New Roman" w:hAnsi="Times New Roman"/>
          <w:bCs/>
          <w:kern w:val="44"/>
          <w:sz w:val="44"/>
          <w:szCs w:val="48"/>
        </w:rPr>
        <w:t>欧盟发布光伏系统用低压开关设备</w:t>
      </w:r>
      <w:bookmarkEnd w:id="4"/>
    </w:p>
    <w:p>
      <w:pPr>
        <w:widowControl/>
        <w:spacing w:before="100" w:beforeAutospacing="1" w:after="100" w:afterAutospacing="1" w:line="960" w:lineRule="exact"/>
        <w:ind w:firstLineChars="0" w:firstLine="0"/>
        <w:jc w:val="center"/>
        <w:outlineLvl w:val="0"/>
        <w:rPr>
          <w:rFonts w:ascii="Times New Roman" w:eastAsia="方正小标宋_GBK" w:cs="Times New Roman" w:hAnsi="Times New Roman"/>
          <w:bCs/>
          <w:kern w:val="44"/>
          <w:sz w:val="44"/>
          <w:szCs w:val="48"/>
        </w:rPr>
      </w:pPr>
      <w:bookmarkStart w:id="5" w:name="_Toc231317669"/>
      <w:bookmarkStart w:id="6" w:name="_Toc231317836"/>
      <w:r>
        <w:rPr>
          <w:rFonts w:ascii="Times New Roman" w:eastAsia="方正小标宋_GBK" w:cs="Times New Roman" w:hAnsi="Times New Roman"/>
          <w:bCs/>
          <w:kern w:val="44"/>
          <w:sz w:val="44"/>
          <w:szCs w:val="48"/>
        </w:rPr>
        <w:t>和控制设备组件标准</w:t>
      </w:r>
      <w:bookmarkEnd w:id="5"/>
      <w:bookmarkEnd w:id="6"/>
    </w:p>
    <w:p>
      <w:pPr>
        <w:pStyle w:val="15"/>
        <w:spacing w:line="360" w:lineRule="exact"/>
        <w:ind w:firstLineChars="0" w:firstLine="0"/>
        <w:jc w:val="center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日期：2026-05-14 来源：江苏省技术性贸易措施信息平台 </w:t>
      </w:r>
    </w:p>
    <w:p>
      <w:pPr>
        <w:pStyle w:val="15"/>
        <w:spacing w:line="360" w:lineRule="exact"/>
        <w:ind w:firstLineChars="0" w:firstLine="0"/>
        <w:jc w:val="center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http://www.tbtsps.cn </w:t>
      </w:r>
    </w:p>
    <w:p>
      <w:pPr>
        <w:widowControl/>
        <w:rPr>
          <w:rFonts w:ascii="Times New Roman" w:cs="Times New Roman" w:hAnsi="Times New Roman"/>
          <w:szCs w:val="32"/>
        </w:rPr>
      </w:pPr>
      <w:r>
        <w:rPr>
          <w:rFonts w:ascii="Times New Roman" w:cs="Times New Roman" w:hAnsi="Times New Roman"/>
          <w:szCs w:val="32"/>
        </w:rPr>
        <w:t>2026年4月，欧盟正式发布EN IEC 61439-8:2026《低压开关设备和控制设备组件 第8部分：光伏系统用组件》，该标准等效采用IEC 61439-8:2026，规定了光伏装置低压开关、控制设备组件的设计与验证要求，明确术语定义、服务条件、结构要求、技术特性及光伏组件验证方法，相关组件可集成电能分配、控制/信号功能，不限单次或批量生产，可由制造商以外主体组装。</w:t>
      </w:r>
    </w:p>
    <w:p>
      <w:pPr>
        <w:widowControl/>
        <w:rPr>
          <w:rFonts w:ascii="Times New Roman" w:cs="Times New Roman" w:hAnsi="Times New Roman"/>
          <w:szCs w:val="32"/>
        </w:rPr>
      </w:pPr>
      <w:r>
        <w:rPr>
          <w:rFonts w:ascii="Times New Roman" w:cs="Times New Roman" w:hAnsi="Times New Roman"/>
          <w:szCs w:val="32"/>
        </w:rPr>
        <w:t xml:space="preserve"> 本标准适用光伏组件特征：</w:t>
      </w:r>
    </w:p>
    <w:p>
      <w:pPr>
        <w:widowControl/>
        <w:rPr>
          <w:rFonts w:ascii="Times New Roman" w:cs="Times New Roman" w:hAnsi="Times New Roman"/>
          <w:szCs w:val="32"/>
        </w:rPr>
      </w:pPr>
      <w:r>
        <w:rPr>
          <w:rFonts w:ascii="Times New Roman" w:cs="Times New Roman" w:hAnsi="Times New Roman"/>
          <w:szCs w:val="32"/>
        </w:rPr>
        <w:t xml:space="preserve"> 1. 组合直流系统组件，输入/输出电压≤1500V DC</w:t>
      </w:r>
    </w:p>
    <w:p>
      <w:pPr>
        <w:widowControl/>
        <w:rPr>
          <w:rFonts w:ascii="Times New Roman" w:cs="Times New Roman" w:hAnsi="Times New Roman"/>
          <w:szCs w:val="32"/>
        </w:rPr>
      </w:pPr>
      <w:r>
        <w:rPr>
          <w:rFonts w:ascii="Times New Roman" w:cs="Times New Roman" w:hAnsi="Times New Roman"/>
          <w:szCs w:val="32"/>
        </w:rPr>
        <w:t>2. 辅助控制用交流供电≤1000V AC</w:t>
      </w:r>
    </w:p>
    <w:p>
      <w:pPr>
        <w:widowControl/>
        <w:rPr>
          <w:rFonts w:ascii="Times New Roman" w:cs="Times New Roman" w:hAnsi="Times New Roman"/>
          <w:szCs w:val="32"/>
        </w:rPr>
      </w:pPr>
      <w:r>
        <w:rPr>
          <w:rFonts w:ascii="Times New Roman" w:cs="Times New Roman" w:hAnsi="Times New Roman"/>
          <w:szCs w:val="32"/>
        </w:rPr>
        <w:t>3. 带外壳的固定式组件</w:t>
      </w:r>
    </w:p>
    <w:p>
      <w:pPr>
        <w:widowControl/>
        <w:rPr>
          <w:rFonts w:ascii="Times New Roman" w:cs="Times New Roman" w:hAnsi="Times New Roman"/>
          <w:szCs w:val="32"/>
        </w:rPr>
      </w:pPr>
      <w:r>
        <w:rPr>
          <w:rFonts w:ascii="Times New Roman" w:cs="Times New Roman" w:hAnsi="Times New Roman"/>
          <w:szCs w:val="32"/>
        </w:rPr>
        <w:t>4. 可由授权人员操作，可设置于普通人可达区域</w:t>
      </w:r>
    </w:p>
    <w:p>
      <w:pPr>
        <w:widowControl/>
        <w:rPr>
          <w:rFonts w:ascii="Times New Roman" w:cs="Times New Roman" w:hAnsi="Times New Roman"/>
          <w:szCs w:val="32"/>
        </w:rPr>
      </w:pPr>
      <w:r>
        <w:rPr>
          <w:rFonts w:ascii="Times New Roman" w:cs="Times New Roman" w:hAnsi="Times New Roman"/>
          <w:szCs w:val="32"/>
        </w:rPr>
        <w:t>5. 室内、室外安装场景通用</w:t>
      </w:r>
    </w:p>
    <w:p>
      <w:pPr>
        <w:widowControl/>
        <w:rPr>
          <w:rFonts w:ascii="Times New Roman" w:cs="Times New Roman" w:hAnsi="Times New Roman"/>
          <w:szCs w:val="32"/>
        </w:rPr>
      </w:pPr>
      <w:r>
        <w:rPr>
          <w:rFonts w:ascii="Times New Roman" w:cs="Times New Roman" w:hAnsi="Times New Roman"/>
          <w:szCs w:val="32"/>
        </w:rPr>
        <w:t xml:space="preserve"> 本标准不适用于：独立断路器、熔断器、电机启动器、UPS、各类驱动模块、独立储能系统、光伏接线盒；光伏电力变换设备（PCE，适用IEC 62109系列）；特殊防爆、功能安全场景；IEC 61439系列其他分篇已覆盖的特定组件。</w:t>
      </w:r>
    </w:p>
    <w:p>
      <w:pPr>
        <w:widowControl/>
        <w:rPr>
          <w:rFonts w:ascii="Times New Roman" w:cs="Times New Roman" w:hAnsi="Times New Roman"/>
          <w:szCs w:val="32"/>
        </w:rPr>
      </w:pPr>
      <w:r>
        <w:rPr>
          <w:rFonts w:ascii="Times New Roman" w:cs="Times New Roman" w:hAnsi="Times New Roman"/>
          <w:szCs w:val="32"/>
        </w:rPr>
        <w:t>出口建议:梳理出口欧盟的光伏直流汇流箱、光伏专用开关控制柜等产品，确认产品参数是否落入本标准适用范围，区分适用与豁免品类。提前完成全品类产品预归类、条款对标，建立内部标准差异对照表；同步锁定认证机构、提前定好证书换版方案与成本预算，错峰避开标准实施后集中换证的排队拥堵、涨价与周期拉长问题，在强制生效前完成全部CE证书平稳过渡。</w:t>
      </w:r>
    </w:p>
    <w:p>
      <w:pPr>
        <w:pStyle w:val="1"/>
        <w:spacing w:before="100" w:after="100"/>
        <w:ind w:firstLineChars="0" w:firstLine="0"/>
        <w:jc w:val="both"/>
        <w:rPr>
          <w:rFonts w:ascii="Times New Roman" w:hAnsi="Times New Roman"/>
          <w:b w:val="0"/>
          <w:sz w:val="32"/>
          <w:szCs w:val="32"/>
        </w:rPr>
      </w:pPr>
      <w:bookmarkStart w:id="7" w:name="_Toc231317837"/>
      <w:r>
        <w:rPr>
          <w:rFonts w:ascii="Times New Roman" w:hAnsi="Times New Roman"/>
          <w:b w:val="0"/>
          <w:sz w:val="32"/>
          <w:szCs w:val="32"/>
        </w:rPr>
        <w:t>【</w:t>
      </w:r>
      <w:r>
        <w:rPr>
          <w:rFonts w:ascii="Times New Roman" w:hAnsi="Times New Roman"/>
          <w:sz w:val="32"/>
          <w:szCs w:val="32"/>
        </w:rPr>
        <w:t>光伏产业信息</w:t>
      </w:r>
      <w:r>
        <w:rPr>
          <w:rFonts w:ascii="Times New Roman" w:hAnsi="Times New Roman"/>
          <w:b w:val="0"/>
          <w:sz w:val="32"/>
          <w:szCs w:val="32"/>
        </w:rPr>
        <w:t>】</w:t>
      </w:r>
      <w:bookmarkEnd w:id="7"/>
    </w:p>
    <w:p>
      <w:pPr>
        <w:widowControl/>
        <w:spacing w:before="100" w:beforeAutospacing="1" w:after="100" w:afterAutospacing="1" w:line="960" w:lineRule="exact"/>
        <w:ind w:firstLineChars="0" w:firstLine="0"/>
        <w:jc w:val="center"/>
        <w:outlineLvl w:val="0"/>
        <w:rPr>
          <w:rFonts w:ascii="Times New Roman" w:eastAsia="方正小标宋_GBK" w:cs="Times New Roman" w:hAnsi="Times New Roman"/>
          <w:bCs/>
          <w:kern w:val="44"/>
          <w:sz w:val="44"/>
          <w:szCs w:val="48"/>
        </w:rPr>
      </w:pPr>
      <w:bookmarkStart w:id="8" w:name="_Toc231317838"/>
      <w:r>
        <w:rPr>
          <w:rFonts w:ascii="Times New Roman" w:eastAsia="方正小标宋_GBK" w:cs="Times New Roman" w:hAnsi="Times New Roman"/>
          <w:bCs/>
          <w:kern w:val="44"/>
          <w:sz w:val="44"/>
          <w:szCs w:val="48"/>
        </w:rPr>
        <w:t>泰国就劣质太阳能安装展开调查</w:t>
      </w:r>
      <w:bookmarkEnd w:id="8"/>
    </w:p>
    <w:p>
      <w:pPr>
        <w:pStyle w:val="15"/>
        <w:spacing w:line="360" w:lineRule="exact"/>
        <w:ind w:firstLineChars="0" w:firstLine="0"/>
        <w:jc w:val="center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日期：2026-05-21 来源：PV-MAGAZINE</w:t>
      </w:r>
    </w:p>
    <w:p>
      <w:pPr>
        <w:pStyle w:val="15"/>
        <w:spacing w:line="360" w:lineRule="exact"/>
        <w:ind w:firstLineChars="0" w:firstLine="0"/>
        <w:jc w:val="center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https://www.pv-magazine-china.com</w:t>
      </w:r>
    </w:p>
    <w:p>
      <w:pPr>
        <w:widowControl/>
        <w:rPr>
          <w:rFonts w:ascii="Times New Roman" w:cs="Times New Roman" w:hAnsi="Times New Roman"/>
          <w:szCs w:val="32"/>
        </w:rPr>
      </w:pPr>
      <w:r>
        <w:rPr>
          <w:rFonts w:ascii="Times New Roman" w:cs="Times New Roman" w:hAnsi="Times New Roman"/>
          <w:szCs w:val="32"/>
        </w:rPr>
        <w:t>泰国消费者保护委员会办公室（OCPB）正对劣质太阳能系统安装问题展开调查。此次调查源于有关设备故障的报告，其中包括出现熔化和烧毁迹象。</w:t>
      </w:r>
    </w:p>
    <w:p>
      <w:pPr>
        <w:widowControl/>
        <w:rPr>
          <w:rFonts w:ascii="Times New Roman" w:cs="Times New Roman" w:hAnsi="Times New Roman"/>
          <w:szCs w:val="32"/>
        </w:rPr>
      </w:pPr>
      <w:r>
        <w:rPr>
          <w:rFonts w:ascii="Times New Roman" w:cs="Times New Roman" w:hAnsi="Times New Roman"/>
          <w:szCs w:val="32"/>
        </w:rPr>
        <w:t>泰国当地媒体报道称，对这些劣质太阳能安装的初步调查发现了多项技术故障，包括使用铝线而非铜线，以及承包商将住宅电力系统从三相擅自改为单相。</w:t>
      </w:r>
    </w:p>
    <w:p>
      <w:pPr>
        <w:widowControl/>
        <w:rPr>
          <w:rFonts w:ascii="Times New Roman" w:cs="Times New Roman" w:hAnsi="Times New Roman"/>
          <w:szCs w:val="32"/>
        </w:rPr>
      </w:pPr>
      <w:r>
        <w:rPr>
          <w:rFonts w:ascii="Times New Roman" w:cs="Times New Roman" w:hAnsi="Times New Roman"/>
          <w:szCs w:val="32"/>
        </w:rPr>
        <w:t>政府代表已与泰国工业标准协会、大都会电力局和省电力局等相关方会面，讨论如何加强消费者保护，并防止类似事件再次发生。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方正楷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tabs>
        <w:tab w:val="center" w:pos="4153"/>
        <w:tab w:val="right" w:pos="8306"/>
      </w:tabs>
    </w:pPr>
    <w:r>
      <mc:AlternateContent>
        <mc:Choice Requires="wps">
          <w:drawing>
            <wp:anchor distT="0" distB="0" distL="114298" distR="114298" simplePos="0" relativeHeight="10" behindDoc="0" locked="0" layoutInCell="1" hidden="0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09422" cy="355600"/>
              <wp:effectExtent l="0" t="0" r="0" b="0"/>
              <wp:wrapNone/>
              <wp:docPr id="1" name="文本框 1"/>
              <wp:cNvGraphicFramePr>
                <a:graphicFrameLocks noChangeAspect="0"/>
              </wp:cNvGraphicFramePr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509422" cy="355600"/>
                      </a:xfrm>
                      <a:prstGeom prst="rect"/>
                      <a:noFill/>
                      <a:ln w="9525" cmpd="sng" cap="flat">
                        <a:noFill/>
                        <a:prstDash val="solid"/>
                        <a:miter/>
                      </a:ln>
                    </wps:spPr>
                    <wps:txbx id="2">
                      <w:txbxContent>
                        <w:p>
                          <w:pPr>
                            <w:pStyle w:val="16"/>
                            <w:tabs>
                              <w:tab w:val="center" w:pos="4153"/>
                              <w:tab w:val="right" w:pos="8306"/>
                            </w:tabs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type="#_x0000_t202" id="文本框 1 3" o:spid="_x0000_s3" filled="f" stroked="f" style="position:absolute;margin-left:0.0pt;margin-top:0.0pt;width:40.112007pt;height:28.000004pt;z-index:10;mso-position-horizontal:center;mso-position-horizontal-relative:margin;mso-position-vertical:absolute;mso-wrap-distance-left:8.999863pt;mso-wrap-distance-right:8.999863pt;mso-wrap-style:none;">
              <v:stroke color="#000000"/>
              <v:textbox id="848" inset="0mm,0mm,0mm,0mm" o:insetmode="custom" style="layout-flow:horizontal;v-text-anchor:top;mso-fit-shape-to-text:t;">
                <w:txbxContent>
                  <w:p>
                    <w:pPr>
                      <w:pStyle w:val="16"/>
                      <w:tabs>
                        <w:tab w:val="center" w:pos="4153"/>
                        <w:tab w:val="right" w:pos="8306"/>
                      </w:tabs>
                      <w:rPr>
                        <w:sz w:val="32"/>
                        <w:szCs w:val="32"/>
                      </w:rPr>
                    </w:pPr>
                    <w:r>
                      <w:rPr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sz w:val="32"/>
                        <w:szCs w:val="32"/>
                      </w:rPr>
                      <w:t>1</w:t>
                    </w:r>
                    <w:r>
                      <w:rPr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bordersDoNotSurroundHeader/>
  <w:bordersDoNotSurroundFooter/>
  <w:trackRevisions/>
  <w:defaultTabStop w:val="420"/>
  <w:drawingGridHorizontalSpacing w:val="160"/>
  <w:drawingGridVerticalSpacing w:val="156"/>
  <w:displayHorizontalDrawingGridEvery w:val="0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compatSetting w:name="compatibilityMode" w:uri="http://schemas.microsoft.com/office/word" w:val="14"/>
  </w:compat>
  <w:docVars>
    <w:docVar w:name="commondata" w:val="eyJoZGlkIjoiNDUyNzVkMDI3MWU4NzNkYjY3YzMxNmUxNDE2YzVlNzY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560" w:lineRule="exact"/>
      <w:ind w:firstLineChars="200" w:firstLine="200"/>
      <w:jc w:val="both"/>
    </w:pPr>
    <w:rPr>
      <w:rFonts w:ascii="Calibri" w:eastAsia="方正仿宋_GBK" w:cs="Arial" w:hAnsi="Calibri"/>
      <w:kern w:val="2"/>
      <w:sz w:val="32"/>
      <w:szCs w:val="24"/>
      <w:lang w:val="en-US" w:eastAsia="zh-CN" w:bidi="ar-SA"/>
    </w:rPr>
  </w:style>
  <w:style w:type="paragraph" w:styleId="1">
    <w:name w:val="heading 1"/>
    <w:basedOn w:val="0"/>
    <w:pPr>
      <w:spacing w:beforeAutospacing="1" w:afterAutospacing="1"/>
      <w:jc w:val="left"/>
      <w:outlineLvl w:val="0"/>
    </w:pPr>
    <w:rPr>
      <w:rFonts w:ascii="宋体" w:eastAsia="宋体" w:cs="Times New Roman"/>
      <w:b/>
      <w:bCs/>
      <w:kern w:val="44"/>
      <w:sz w:val="48"/>
      <w:szCs w:val="48"/>
    </w:rPr>
  </w:style>
  <w:style w:type="paragraph" w:styleId="2">
    <w:name w:val="heading 2"/>
    <w:basedOn w:val="0"/>
    <w:next w:val="0"/>
    <w:pPr>
      <w:keepNext/>
      <w:keepLines/>
      <w:widowControl w:val="0"/>
      <w:jc w:val="center"/>
      <w:outlineLvl w:val="1"/>
    </w:pPr>
    <w:rPr>
      <w:rFonts w:ascii="Calibri Light" w:eastAsia="方正楷体_GBK" w:cs="Times New Roman" w:hAnsi="Calibri Light"/>
      <w:b/>
      <w:bCs/>
      <w:szCs w:val="32"/>
    </w:rPr>
  </w:style>
  <w:style w:type="paragraph" w:styleId="3">
    <w:name w:val="heading 3"/>
    <w:basedOn w:val="0"/>
    <w:next w:val="0"/>
    <w:pPr>
      <w:spacing w:beforeAutospacing="1" w:afterAutospacing="1"/>
      <w:jc w:val="left"/>
      <w:outlineLvl w:val="2"/>
    </w:pPr>
    <w:rPr>
      <w:rFonts w:ascii="宋体" w:eastAsia="宋体" w:cs="Times New Roman"/>
      <w:b/>
      <w:bCs/>
      <w:kern w:val="0"/>
      <w:sz w:val="27"/>
      <w:szCs w:val="27"/>
    </w:rPr>
  </w:style>
  <w:style w:type="paragraph" w:styleId="4">
    <w:name w:val="heading 4"/>
    <w:basedOn w:val="0"/>
    <w:next w:val="0"/>
    <w:pPr>
      <w:keepNext/>
      <w:keepLines/>
      <w:widowControl w:val="0"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10">
    <w:name w:val="Default Paragraph Font"/>
  </w:style>
  <w:style w:type="paragraph" w:styleId="15">
    <w:name w:val="Balloon Text"/>
    <w:basedOn w:val="0"/>
    <w:pPr>
      <w:spacing w:line="240" w:lineRule="auto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7">
    <w:name w:val="header"/>
    <w:basedOn w:val="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18">
    <w:name w:val="toc 1"/>
    <w:basedOn w:val="0"/>
    <w:next w:val="0"/>
  </w:style>
  <w:style w:type="paragraph" w:styleId="19">
    <w:name w:val="Normal (Web)"/>
    <w:basedOn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20">
    <w:name w:val="Strong"/>
    <w:basedOn w:val="10"/>
    <w:rPr>
      <w:b/>
    </w:rPr>
  </w:style>
  <w:style w:type="character" w:styleId="21">
    <w:name w:val="Emphasis"/>
    <w:basedOn w:val="10"/>
    <w:rPr>
      <w:i/>
    </w:rPr>
  </w:style>
  <w:style w:type="character" w:styleId="22">
    <w:name w:val="Hyperlink"/>
    <w:basedOn w:val="10"/>
    <w:rPr>
      <w:color w:val="0000FF"/>
      <w:u w:val="single"/>
    </w:rPr>
  </w:style>
  <w:style w:type="paragraph" w:customStyle="1" w:styleId="23">
    <w:name w:val="WPSOffice手动目录 1"/>
    <w:rPr>
      <w:rFonts w:ascii="Calibri" w:eastAsia="宋体" w:cs="Arial" w:hAnsi="Calibri"/>
      <w:lang w:val="en-US" w:eastAsia="zh-CN" w:bidi="ar-SA"/>
    </w:rPr>
  </w:style>
  <w:style w:type="character" w:customStyle="1" w:styleId="24">
    <w:name w:val="不明显强调1"/>
    <w:basedOn w:val="10"/>
    <w:rPr>
      <w:i/>
      <w:iCs/>
      <w:color w:val="7F7F7F"/>
    </w:rPr>
  </w:style>
  <w:style w:type="character" w:customStyle="1" w:styleId="25">
    <w:name w:val="item"/>
    <w:basedOn w:val="10"/>
  </w:style>
  <w:style w:type="character" w:customStyle="1" w:styleId="26">
    <w:name w:val="txt"/>
    <w:basedOn w:val="10"/>
  </w:style>
  <w:style w:type="character" w:customStyle="1" w:styleId="27">
    <w:name w:val="bjh-p"/>
    <w:basedOn w:val="10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</TotalTime>
  <Application>Yozo_Office</Application>
  <Pages>3</Pages>
  <Words>831</Words>
  <Characters>975</Characters>
  <Lines>47</Lines>
  <Paragraphs>26</Paragraphs>
  <CharactersWithSpaces>998</CharactersWithSpaces>
  <Company>Organization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86189</dc:creator>
  <cp:lastModifiedBy>申德生</cp:lastModifiedBy>
  <cp:revision>2</cp:revision>
  <dcterms:created xsi:type="dcterms:W3CDTF">2026-06-04T01:54:00Z</dcterms:created>
  <dcterms:modified xsi:type="dcterms:W3CDTF">2026-06-05T01:43:36Z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2052-12.1.0.25835</vt:lpwstr>
  </property>
  <property fmtid="{D5CDD505-2E9C-101B-9397-08002B2CF9AE}" pid="3" name="ICV">
    <vt:lpwstr>16BD2586B13745CBB78290965E8712D4_13</vt:lpwstr>
  </property>
  <property fmtid="{D5CDD505-2E9C-101B-9397-08002B2CF9AE}" pid="4" name="KSOTemplateDocerSaveRecord">
    <vt:lpwstr>eyJoZGlkIjoiNDUyNzVkMDI3MWU4NzNkYjY3YzMxNmUxNDE2YzVlNzYiLCJ1c2VySWQiOiI2OTc5MDIifQ==</vt:lpwstr>
  </property>
</Properties>
</file>