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240" w:lineRule="auto"/>
        <w:ind w:firstLineChars="0" w:firstLine="0"/>
        <w:jc w:val="center"/>
        <w:rPr>
          <w:rFonts w:ascii="Times New Roman" w:eastAsia="宋体" w:cs="Times New Roman" w:hAnsi="Times New Roman"/>
          <w:szCs w:val="32"/>
        </w:rPr>
      </w:pPr>
      <w:bookmarkStart w:id="0" w:name="_Toc30197"/>
      <w:bookmarkStart w:id="1" w:name="_GoBack"/>
      <w:bookmarkEnd w:id="1"/>
      <w:r>
        <w:rPr>
          <w:rFonts w:ascii="Times New Roman" w:eastAsia="宋体" w:cs="Times New Roman" w:hAnsi="Times New Roman"/>
          <w:szCs w:val="32"/>
        </w:rPr>
        <w:t>目录</w:t>
      </w:r>
    </w:p>
    <w:p>
      <w:pPr>
        <w:pStyle w:val="18"/>
        <w:tabs>
          <w:tab w:val="right" w:leader="dot" w:pos="8296"/>
        </w:tabs>
        <w:ind w:firstLineChars="0" w:firstLine="0"/>
        <w:rPr>
          <w:rFonts w:ascii="Times New Roman" w:eastAsia="宋体" w:cs="Times New Roman" w:hAnsi="Times New Roman"/>
          <w:sz w:val="21"/>
          <w:szCs w:val="22"/>
        </w:rPr>
      </w:pPr>
      <w:r>
        <w:rPr>
          <w:rFonts w:ascii="Times New Roman" w:cs="Times New Roman" w:hAnsi="Times New Roman"/>
          <w:szCs w:val="32"/>
        </w:rPr>
        <w:fldChar w:fldCharType="begin"/>
      </w:r>
      <w:r>
        <w:rPr>
          <w:rFonts w:ascii="Times New Roman" w:cs="Times New Roman" w:hAnsi="Times New Roman"/>
          <w:szCs w:val="32"/>
        </w:rPr>
        <w:instrText xml:space="preserve">TOC \o "1-1" \h \u </w:instrText>
      </w:r>
      <w:r>
        <w:rPr>
          <w:rFonts w:ascii="Times New Roman" w:cs="Times New Roman" w:hAnsi="Times New Roman"/>
          <w:szCs w:val="32"/>
        </w:rPr>
        <w:fldChar w:fldCharType="separate"/>
      </w:r>
      <w:r>
        <w:fldChar w:fldCharType="begin"/>
      </w:r>
      <w:r>
        <w:instrText>Hyperlink \l "_Toc231318514"</w:instrText>
      </w:r>
      <w:r>
        <w:fldChar w:fldCharType="separate"/>
      </w:r>
      <w:r>
        <w:rPr>
          <w:rFonts w:ascii="黑体" w:eastAsia="黑体" w:cs="Times New Roman"/>
          <w:u w:val="none"/>
        </w:rPr>
        <w:t>【光伏产业信息】</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_Toc231318514 \h </w:instrText>
      </w:r>
      <w:r>
        <w:rPr>
          <w:rFonts w:ascii="Times New Roman" w:cs="Times New Roman" w:hAnsi="Times New Roman"/>
        </w:rPr>
        <w:fldChar w:fldCharType="separate"/>
      </w:r>
      <w:r>
        <w:rPr>
          <w:rFonts w:ascii="Times New Roman" w:cs="Times New Roman" w:hAnsi="Times New Roman"/>
        </w:rPr>
        <w:t>2</w:t>
      </w:r>
      <w:r>
        <w:rPr>
          <w:rFonts w:ascii="Times New Roman" w:cs="Times New Roman" w:hAnsi="Times New Roman"/>
        </w:rPr>
        <w:fldChar w:fldCharType="end"/>
      </w:r>
      <w:r>
        <w:fldChar w:fldCharType="end"/>
      </w:r>
    </w:p>
    <w:p>
      <w:pPr>
        <w:pStyle w:val="18"/>
        <w:tabs>
          <w:tab w:val="right" w:leader="dot" w:pos="8296"/>
        </w:tabs>
        <w:ind w:firstLineChars="0" w:firstLine="0"/>
        <w:rPr>
          <w:rFonts w:ascii="Times New Roman" w:eastAsia="宋体" w:cs="Times New Roman" w:hAnsi="Times New Roman"/>
          <w:sz w:val="21"/>
          <w:szCs w:val="22"/>
        </w:rPr>
      </w:pPr>
      <w:r>
        <w:fldChar w:fldCharType="begin"/>
      </w:r>
      <w:r>
        <w:instrText>Hyperlink \l "_Toc231318515"</w:instrText>
      </w:r>
      <w:r>
        <w:fldChar w:fldCharType="separate"/>
      </w:r>
      <w:r>
        <w:rPr>
          <w:rFonts w:ascii="Times New Roman" w:eastAsia="方正小标宋_GBK" w:cs="Times New Roman" w:hAnsi="Times New Roman"/>
          <w:bCs/>
          <w:kern w:val="44"/>
        </w:rPr>
        <w:t>两项光伏组件强制性国标发布 筑牢安全底线规范市场秩序</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_Toc231318515 \h </w:instrText>
      </w:r>
      <w:r>
        <w:rPr>
          <w:rFonts w:ascii="Times New Roman" w:cs="Times New Roman" w:hAnsi="Times New Roman"/>
        </w:rPr>
        <w:fldChar w:fldCharType="separate"/>
      </w:r>
      <w:r>
        <w:rPr>
          <w:rFonts w:ascii="Times New Roman" w:cs="Times New Roman" w:hAnsi="Times New Roman"/>
        </w:rPr>
        <w:t>2</w:t>
      </w:r>
      <w:r>
        <w:rPr>
          <w:rFonts w:ascii="Times New Roman" w:cs="Times New Roman" w:hAnsi="Times New Roman"/>
        </w:rPr>
        <w:fldChar w:fldCharType="end"/>
      </w:r>
      <w:r>
        <w:fldChar w:fldCharType="end"/>
      </w:r>
    </w:p>
    <w:p>
      <w:pPr>
        <w:pStyle w:val="18"/>
        <w:tabs>
          <w:tab w:val="right" w:leader="dot" w:pos="8296"/>
        </w:tabs>
        <w:ind w:firstLineChars="0" w:firstLine="0"/>
        <w:rPr>
          <w:rFonts w:ascii="Times New Roman" w:eastAsia="宋体" w:cs="Times New Roman" w:hAnsi="Times New Roman"/>
          <w:sz w:val="21"/>
          <w:szCs w:val="22"/>
        </w:rPr>
      </w:pPr>
      <w:r>
        <w:fldChar w:fldCharType="begin"/>
      </w:r>
      <w:r>
        <w:instrText>Hyperlink \l "_Toc231318517"</w:instrText>
      </w:r>
      <w:r>
        <w:fldChar w:fldCharType="separate"/>
      </w:r>
      <w:r>
        <w:rPr>
          <w:rFonts w:ascii="黑体" w:eastAsia="黑体" w:cs="Times New Roman"/>
          <w:u w:val="none"/>
        </w:rPr>
        <w:t>【光伏贸易措施】</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_Toc231318517 \h </w:instrText>
      </w:r>
      <w:r>
        <w:rPr>
          <w:rFonts w:ascii="Times New Roman" w:cs="Times New Roman" w:hAnsi="Times New Roman"/>
        </w:rPr>
        <w:fldChar w:fldCharType="separate"/>
      </w:r>
      <w:r>
        <w:rPr>
          <w:rFonts w:ascii="Times New Roman" w:cs="Times New Roman" w:hAnsi="Times New Roman"/>
        </w:rPr>
        <w:t>3</w:t>
      </w:r>
      <w:r>
        <w:rPr>
          <w:rFonts w:ascii="Times New Roman" w:cs="Times New Roman" w:hAnsi="Times New Roman"/>
        </w:rPr>
        <w:fldChar w:fldCharType="end"/>
      </w:r>
      <w:r>
        <w:fldChar w:fldCharType="end"/>
      </w:r>
    </w:p>
    <w:p>
      <w:pPr>
        <w:pStyle w:val="18"/>
        <w:tabs>
          <w:tab w:val="right" w:leader="dot" w:pos="8296"/>
        </w:tabs>
        <w:ind w:firstLineChars="0" w:firstLine="0"/>
        <w:rPr>
          <w:rFonts w:ascii="Times New Roman" w:eastAsia="宋体" w:cs="Times New Roman" w:hAnsi="Times New Roman"/>
          <w:sz w:val="21"/>
          <w:szCs w:val="22"/>
        </w:rPr>
      </w:pPr>
      <w:r>
        <w:fldChar w:fldCharType="begin"/>
      </w:r>
      <w:r>
        <w:instrText>Hyperlink \l "_Toc231318518"</w:instrText>
      </w:r>
      <w:r>
        <w:fldChar w:fldCharType="separate"/>
      </w:r>
      <w:r>
        <w:rPr>
          <w:rFonts w:ascii="Times New Roman" w:eastAsia="方正小标宋_GBK" w:cs="Times New Roman" w:hAnsi="Times New Roman"/>
          <w:bCs/>
          <w:kern w:val="44"/>
        </w:rPr>
        <w:t>印度：光伏电池ALMM清单6月1日起全面执行</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_Toc231318518 \h </w:instrText>
      </w:r>
      <w:r>
        <w:rPr>
          <w:rFonts w:ascii="Times New Roman" w:cs="Times New Roman" w:hAnsi="Times New Roman"/>
        </w:rPr>
        <w:fldChar w:fldCharType="separate"/>
      </w:r>
      <w:r>
        <w:rPr>
          <w:rFonts w:ascii="Times New Roman" w:cs="Times New Roman" w:hAnsi="Times New Roman"/>
        </w:rPr>
        <w:t>3</w:t>
      </w:r>
      <w:r>
        <w:rPr>
          <w:rFonts w:ascii="Times New Roman" w:cs="Times New Roman" w:hAnsi="Times New Roman"/>
        </w:rPr>
        <w:fldChar w:fldCharType="end"/>
      </w:r>
      <w:r>
        <w:fldChar w:fldCharType="end"/>
      </w:r>
    </w:p>
    <w:p>
      <w:pPr>
        <w:pStyle w:val="18"/>
        <w:tabs>
          <w:tab w:val="right" w:leader="dot" w:pos="8296"/>
        </w:tabs>
        <w:ind w:firstLineChars="0" w:firstLine="0"/>
        <w:rPr>
          <w:rFonts w:ascii="Times New Roman" w:cs="Times New Roman" w:hAnsi="Times New Roman"/>
          <w:szCs w:val="32"/>
        </w:rPr>
      </w:pPr>
      <w:r>
        <w:fldChar w:fldCharType="begin"/>
      </w:r>
      <w:r>
        <w:instrText>Hyperlink \l "_Toc231318520"</w:instrText>
      </w:r>
      <w:r>
        <w:fldChar w:fldCharType="separate"/>
      </w:r>
      <w:r>
        <w:rPr>
          <w:rFonts w:ascii="Times New Roman" w:eastAsia="方正小标宋_GBK" w:cs="Times New Roman" w:hAnsi="Times New Roman"/>
          <w:bCs/>
          <w:kern w:val="44"/>
        </w:rPr>
        <w:t>美国高举234%关税大棒，印度光伏 “脱美入欧”</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_Toc231318520 \h </w:instrText>
      </w:r>
      <w:r>
        <w:rPr>
          <w:rFonts w:ascii="Times New Roman" w:cs="Times New Roman" w:hAnsi="Times New Roman"/>
        </w:rPr>
        <w:fldChar w:fldCharType="separate"/>
      </w:r>
      <w:r>
        <w:rPr>
          <w:rFonts w:ascii="Times New Roman" w:cs="Times New Roman" w:hAnsi="Times New Roman"/>
        </w:rPr>
        <w:t>4</w:t>
      </w:r>
      <w:r>
        <w:rPr>
          <w:rFonts w:ascii="Times New Roman" w:cs="Times New Roman" w:hAnsi="Times New Roman"/>
        </w:rPr>
        <w:fldChar w:fldCharType="end"/>
      </w:r>
      <w:r>
        <w:fldChar w:fldCharType="end"/>
      </w:r>
      <w:r>
        <w:rPr>
          <w:rFonts w:ascii="Times New Roman" w:cs="Times New Roman" w:hAnsi="Times New Roman"/>
          <w:szCs w:val="32"/>
        </w:rPr>
        <w:fldChar w:fldCharType="end"/>
      </w:r>
    </w:p>
    <w:p>
      <w:pPr>
        <w:pStyle w:val="1"/>
        <w:jc w:val="both"/>
        <w:rPr>
          <w:rFonts w:ascii="Times New Roman" w:hAnsi="Times New Roman"/>
          <w:sz w:val="32"/>
          <w:szCs w:val="32"/>
        </w:rPr>
        <w:sectPr>
          <w:footerReference w:type="default" r:id="rId2"/>
          <w:pgSz w:w="11906" w:h="16838"/>
          <w:pgMar w:top="1440" w:right="1800" w:bottom="1440" w:left="1800" w:header="851" w:footer="992" w:gutter="0"/>
          <w:docGrid w:type="lines" w:linePitch="312" w:charSpace="0"/>
        </w:sectPr>
      </w:pPr>
    </w:p>
    <w:p>
      <w:pPr>
        <w:pStyle w:val="1"/>
        <w:spacing w:before="100" w:after="100"/>
        <w:ind w:firstLineChars="0" w:firstLine="0"/>
        <w:jc w:val="both"/>
        <w:rPr>
          <w:rFonts w:ascii="Times New Roman" w:hAnsi="Times New Roman"/>
          <w:sz w:val="32"/>
          <w:szCs w:val="32"/>
        </w:rPr>
      </w:pPr>
      <w:bookmarkStart w:id="2" w:name="_Toc14866"/>
      <w:bookmarkStart w:id="3" w:name="_Toc231318514"/>
      <w:bookmarkEnd w:id="0"/>
      <w:r>
        <w:rPr>
          <w:rFonts w:ascii="Times New Roman" w:hAnsi="Times New Roman"/>
          <w:sz w:val="32"/>
          <w:szCs w:val="32"/>
        </w:rPr>
        <w:t>【光伏产业信息】</w:t>
      </w:r>
      <w:bookmarkEnd w:id="2"/>
      <w:bookmarkEnd w:id="3"/>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4" w:name="_Toc231318515"/>
      <w:r>
        <w:rPr>
          <w:rFonts w:ascii="Times New Roman" w:eastAsia="方正小标宋_GBK" w:cs="Times New Roman" w:hAnsi="Times New Roman"/>
          <w:bCs/>
          <w:kern w:val="44"/>
          <w:sz w:val="44"/>
          <w:szCs w:val="48"/>
        </w:rPr>
        <w:t>两项光伏组件强制性国标发布 筑牢</w:t>
      </w:r>
      <w:bookmarkEnd w:id="4"/>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5" w:name="_Toc231318313"/>
      <w:bookmarkStart w:id="6" w:name="_Toc231318516"/>
      <w:r>
        <w:rPr>
          <w:rFonts w:ascii="Times New Roman" w:eastAsia="方正小标宋_GBK" w:cs="Times New Roman" w:hAnsi="Times New Roman"/>
          <w:bCs/>
          <w:kern w:val="44"/>
          <w:sz w:val="44"/>
          <w:szCs w:val="48"/>
        </w:rPr>
        <w:t>安全底线规范市场秩序</w:t>
      </w:r>
      <w:bookmarkEnd w:id="5"/>
      <w:bookmarkEnd w:id="6"/>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日期：2026年5月26日来源：新华网</w:t>
      </w:r>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http://www.xinhuanet.com</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国家市场监督管理总局、国家标准化管理委员会发布强制性国家标准《光伏组件安全要求》《光伏组件铭牌标识要求》，，将于2027年6月1日实施。</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光伏组件安全要求》规定光伏组件电气、机械、防火、有害物质限制等要求与试验方法，明确防火等级、燃烧性能及部件材料阻燃硬性指标，全方位降低组件火灾风险。《光伏组件铭牌标识要求》明确铭牌电性能参数最大允许公差、验证判定值、测量方法，规范量值溯源与结果可追溯，杜绝功率“虚标”现象。</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两项标准指标均经过充分试验验证，可有效降低事故风险、保障铭牌信息真实可查、全程可控，杜绝功率虚标，加速落后产能出清，倒逼企业技术创新与品质提升，规范公平市场秩序，推动光伏产业从“规模领先”向“价值领先”转变。短期内部分企业生产成本会小幅上升，该成本增加必要可控，随着技术与产能升级后续成本将逐步回落，推进行业高质量发展。</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两项强制国标落地，将筑牢安全底线，建立组件全生命周期安全规范，防范火灾、触电等重大安全风险，为能源安全提供支撑；规范标识管理，统一铭牌标注与检测规则，遏制虚假宣传与低价恶性竞争，形成优质优价的良性市场；以刚性法治约束扭转“劣币驱逐良币”局面，对标国际先进水平，守护中国制造国际形象，推动中国光伏标准出海，巩固提升全球产业核心竞争力。</w:t>
      </w:r>
    </w:p>
    <w:p>
      <w:pPr>
        <w:pStyle w:val="1"/>
        <w:spacing w:before="100" w:after="100"/>
        <w:ind w:firstLineChars="0" w:firstLine="0"/>
        <w:jc w:val="both"/>
        <w:rPr>
          <w:rFonts w:ascii="Times New Roman" w:eastAsia="方正仿宋_GBK" w:hAnsi="Times New Roman"/>
          <w:color w:val="404040"/>
          <w:kern w:val="0"/>
          <w:sz w:val="32"/>
          <w:szCs w:val="32"/>
          <w:shd w:val="clear" w:color="auto" w:fill="FFFFFF"/>
        </w:rPr>
      </w:pPr>
      <w:bookmarkStart w:id="7" w:name="_Toc231318517"/>
      <w:r>
        <w:rPr>
          <w:rFonts w:ascii="Times New Roman" w:hAnsi="Times New Roman"/>
          <w:sz w:val="32"/>
          <w:szCs w:val="32"/>
        </w:rPr>
        <w:t>【光伏贸易措施】</w:t>
      </w:r>
      <w:bookmarkEnd w:id="7"/>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8" w:name="_Toc231318518"/>
      <w:r>
        <w:rPr>
          <w:rFonts w:ascii="Times New Roman" w:eastAsia="方正小标宋_GBK" w:cs="Times New Roman" w:hAnsi="Times New Roman"/>
          <w:bCs/>
          <w:kern w:val="44"/>
          <w:sz w:val="44"/>
          <w:szCs w:val="48"/>
        </w:rPr>
        <w:t>印度：光伏电池ALMM清单6月</w:t>
      </w:r>
      <w:bookmarkEnd w:id="8"/>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9" w:name="_Toc231318315"/>
      <w:bookmarkStart w:id="10" w:name="_Toc231318519"/>
      <w:r>
        <w:rPr>
          <w:rFonts w:ascii="Times New Roman" w:eastAsia="方正小标宋_GBK" w:cs="Times New Roman" w:hAnsi="Times New Roman"/>
          <w:bCs/>
          <w:kern w:val="44"/>
          <w:sz w:val="44"/>
          <w:szCs w:val="48"/>
        </w:rPr>
        <w:t>1日起全面执行</w:t>
      </w:r>
      <w:bookmarkEnd w:id="9"/>
      <w:bookmarkEnd w:id="10"/>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日期：2026-05-27来源：北极星光伏网</w:t>
      </w:r>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 xml:space="preserve">https://guangfu.bjx.com.cn </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印度新能源和可再生能源部（MNRE）决定，ALMM List-II 除已投资的个别项目外，不再对2026年6月1日之后截止日期的项目给予全面延期。</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根据原规定，2026年6月1日起所有并网计量、开放接入的可再生能源项目，必须使用ALMM List-I中的组件和ALMM List-II中的电池片。然而，当局收到多方请求，有的要求延期，有的反对延期，MNRE最终决定不给予全面延期。</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但是，考虑到西亚局势动荡，为保持政策稳定，维护光伏制造业长期信心，同时保护开发商已有投资，允许部分已经投入大量资金且进展较深的现有项目延期2-4个月（适用于2026年2月28日后的履约）。</w:t>
      </w:r>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11" w:name="_Toc231318520"/>
      <w:r>
        <w:rPr>
          <w:rFonts w:ascii="Times New Roman" w:eastAsia="方正小标宋_GBK" w:cs="Times New Roman" w:hAnsi="Times New Roman"/>
          <w:bCs/>
          <w:kern w:val="44"/>
          <w:sz w:val="44"/>
          <w:szCs w:val="48"/>
        </w:rPr>
        <w:t>美国高举234%关税大棒，印度</w:t>
      </w:r>
      <w:bookmarkEnd w:id="11"/>
    </w:p>
    <w:p>
      <w:pPr>
        <w:widowControl/>
        <w:spacing w:before="100" w:beforeAutospacing="1" w:after="100" w:afterAutospacing="1" w:line="960" w:lineRule="exact"/>
        <w:ind w:firstLineChars="0" w:firstLine="0"/>
        <w:jc w:val="center"/>
        <w:outlineLvl w:val="0"/>
        <w:rPr>
          <w:rFonts w:ascii="Times New Roman" w:eastAsia="方正小标宋_GBK" w:cs="Times New Roman" w:hAnsi="Times New Roman"/>
          <w:bCs/>
          <w:kern w:val="44"/>
          <w:sz w:val="44"/>
          <w:szCs w:val="48"/>
        </w:rPr>
      </w:pPr>
      <w:bookmarkStart w:id="12" w:name="_Toc231318317"/>
      <w:bookmarkStart w:id="13" w:name="_Toc231318521"/>
      <w:r>
        <w:rPr>
          <w:rFonts w:ascii="Times New Roman" w:eastAsia="方正小标宋_GBK" w:cs="Times New Roman" w:hAnsi="Times New Roman"/>
          <w:bCs/>
          <w:kern w:val="44"/>
          <w:sz w:val="44"/>
          <w:szCs w:val="48"/>
        </w:rPr>
        <w:t>光伏 “脱美入欧”</w:t>
      </w:r>
      <w:bookmarkEnd w:id="12"/>
      <w:bookmarkEnd w:id="13"/>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日期：2026-05-27来源：PV Tech</w:t>
      </w:r>
    </w:p>
    <w:p>
      <w:pPr>
        <w:pStyle w:val="15"/>
        <w:spacing w:line="360" w:lineRule="exact"/>
        <w:ind w:firstLineChars="0" w:firstLine="0"/>
        <w:jc w:val="center"/>
        <w:rPr>
          <w:rFonts w:ascii="Times New Roman" w:cs="Times New Roman" w:hAnsi="Times New Roman"/>
          <w:sz w:val="24"/>
          <w:szCs w:val="24"/>
        </w:rPr>
      </w:pPr>
      <w:r>
        <w:rPr>
          <w:rFonts w:ascii="Times New Roman" w:cs="Times New Roman" w:hAnsi="Times New Roman"/>
          <w:sz w:val="24"/>
          <w:szCs w:val="24"/>
        </w:rPr>
        <w:t>https://news.solarbe.com</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长期以来，印度光伏产品出口高度依赖美国市场，美国曾是印度光伏最主要的外销目的地。2026年4月，美国商务部(DoC)在针对从印度进口的晶硅光伏电池的反倾销(AD)调查中作出了初步肯定性裁定，对所有供应电池的生产商(包括为美国市场组装成组件的生产商)统一征收123.04%的倾销税。结合此前的反补贴税(CVD)裁定，印度太阳能产品的初步AD/CVD综合税率目前已达到约234%。再加上2026年2月征收的额外18%对等关税，这些措施实际上已使美国市场对印度太阳能制造商在商业上不再可行。</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2025年底，印度拥有约210GW的太阳能组件制造产能和27GW的太阳能电池制造产能。面对对美出口困局，印度光伏开始战略调整，主动推进出口转向，开启“脱美入欧”进程，将市场布局重心向欧洲倾斜，同时发力其他海外地区，推动出口市场多元化，降低单一市场依赖。欧洲方面，出于供应链安全考量，有意降低单一来源依赖、推进进口渠道多元化，为印度光伏产品进入当地市场提供了相应机会。</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但印度光伏产业本身仍存在诸多短板，本土制造配套能力不足，成本竞争力偏弱，同时在国际市场上面临成熟竞品的激烈挤压，实际开拓新市场的过程并不顺畅。</w:t>
      </w:r>
    </w:p>
    <w:p>
      <w:pPr>
        <w:pStyle w:val="19"/>
        <w:widowControl/>
        <w:spacing w:beforeAutospacing="0" w:afterAutospacing="0"/>
        <w:rPr>
          <w:rFonts w:ascii="Times New Roman" w:hAnsi="Times New Roman"/>
          <w:kern w:val="2"/>
          <w:sz w:val="32"/>
          <w:szCs w:val="32"/>
        </w:rPr>
      </w:pPr>
      <w:r>
        <w:rPr>
          <w:rFonts w:ascii="Times New Roman" w:hAnsi="Times New Roman"/>
          <w:kern w:val="2"/>
          <w:sz w:val="32"/>
          <w:szCs w:val="32"/>
        </w:rPr>
        <w:t>当前全球贸易保护主义抬头，光伏领域贸易壁垒不断增加，国际产业竞争愈发激烈。印度光伏的这次重大转向，前路机遇与挑战并存，其后续的发展走势，也将对全球光伏整体贸易格局产生深远影响。</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楷体_GBK">
    <w:panose1 w:val="03000509000000000000"/>
    <w:charset w:val="86"/>
    <w:family w:val="script"/>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mc:AlternateContent>
        <mc:Choice Requires="wps">
          <w:drawing>
            <wp:anchor distT="0" distB="0" distL="114298" distR="114298" simplePos="0" relativeHeight="10" behindDoc="0" locked="0" layoutInCell="1" hidden="0" allowOverlap="1">
              <wp:simplePos x="0" y="0"/>
              <wp:positionH relativeFrom="margin">
                <wp:align>center</wp:align>
              </wp:positionH>
              <wp:positionV relativeFrom="paragraph">
                <wp:posOffset>0</wp:posOffset>
              </wp:positionV>
              <wp:extent cx="509422" cy="355600"/>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09422" cy="355600"/>
                      </a:xfrm>
                      <a:prstGeom prst="rect"/>
                      <a:noFill/>
                      <a:ln w="9525" cmpd="sng" cap="flat">
                        <a:noFill/>
                        <a:prstDash val="solid"/>
                        <a:miter/>
                      </a:ln>
                    </wps:spPr>
                    <wps:txbx id="2">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40.112007pt;height:28.000004pt;z-index:10;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6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DUyNzVkMDI3MWU4NzNkYjY3YzMxNmUxNDE2YzVlN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Calibri" w:eastAsia="方正仿宋_GBK" w:cs="Arial" w:hAnsi="Calibri"/>
      <w:kern w:val="2"/>
      <w:sz w:val="32"/>
      <w:szCs w:val="24"/>
      <w:lang w:val="en-US" w:eastAsia="zh-CN" w:bidi="ar-SA"/>
    </w:rPr>
  </w:style>
  <w:style w:type="paragraph" w:styleId="1">
    <w:name w:val="heading 1"/>
    <w:basedOn w:val="0"/>
    <w:pPr>
      <w:spacing w:beforeAutospacing="1" w:afterAutospacing="1"/>
      <w:jc w:val="left"/>
      <w:outlineLvl w:val="0"/>
    </w:pPr>
    <w:rPr>
      <w:rFonts w:ascii="宋体" w:eastAsia="宋体" w:cs="Times New Roman"/>
      <w:b/>
      <w:bCs/>
      <w:kern w:val="44"/>
      <w:sz w:val="48"/>
      <w:szCs w:val="48"/>
    </w:rPr>
  </w:style>
  <w:style w:type="paragraph" w:styleId="2">
    <w:name w:val="heading 2"/>
    <w:basedOn w:val="0"/>
    <w:next w:val="0"/>
    <w:pPr>
      <w:keepNext/>
      <w:keepLines/>
      <w:widowControl w:val="0"/>
      <w:jc w:val="center"/>
      <w:outlineLvl w:val="1"/>
    </w:pPr>
    <w:rPr>
      <w:rFonts w:ascii="Calibri Light" w:eastAsia="方正楷体_GBK" w:cs="Times New Roman" w:hAnsi="Calibri Light"/>
      <w:b/>
      <w:bCs/>
      <w:szCs w:val="32"/>
    </w:rPr>
  </w:style>
  <w:style w:type="paragraph" w:styleId="3">
    <w:name w:val="heading 3"/>
    <w:basedOn w:val="0"/>
    <w:next w:val="0"/>
    <w:pPr>
      <w:spacing w:beforeAutospacing="1" w:afterAutospacing="1"/>
      <w:jc w:val="left"/>
      <w:outlineLvl w:val="2"/>
    </w:pPr>
    <w:rPr>
      <w:rFonts w:ascii="宋体" w:eastAsia="宋体" w:cs="Times New Roman"/>
      <w:b/>
      <w:bCs/>
      <w:kern w:val="0"/>
      <w:sz w:val="27"/>
      <w:szCs w:val="27"/>
    </w:rPr>
  </w:style>
  <w:style w:type="paragraph" w:styleId="4">
    <w:name w:val="heading 4"/>
    <w:basedOn w:val="0"/>
    <w:next w:val="0"/>
    <w:pPr>
      <w:keepNext/>
      <w:keepLines/>
      <w:widowControl w:val="0"/>
      <w:spacing w:before="280" w:after="290"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pPr>
      <w:spacing w:line="240" w:lineRule="auto"/>
    </w:pPr>
    <w:rPr>
      <w:sz w:val="18"/>
      <w:szCs w:val="18"/>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pPr>
    <w:rPr>
      <w:sz w:val="18"/>
    </w:rPr>
  </w:style>
  <w:style w:type="paragraph" w:styleId="18">
    <w:name w:val="toc 1"/>
    <w:basedOn w:val="0"/>
    <w:next w:val="0"/>
  </w:style>
  <w:style w:type="paragraph" w:styleId="19">
    <w:name w:val="Normal (Web)"/>
    <w:basedOn w:val="0"/>
    <w:pPr>
      <w:spacing w:beforeAutospacing="1" w:afterAutospacing="1"/>
      <w:jc w:val="left"/>
    </w:pPr>
    <w:rPr>
      <w:rFonts w:cs="Times New Roman"/>
      <w:kern w:val="0"/>
      <w:sz w:val="24"/>
    </w:rPr>
  </w:style>
  <w:style w:type="character" w:styleId="20">
    <w:name w:val="Strong"/>
    <w:basedOn w:val="10"/>
    <w:rPr>
      <w:b/>
    </w:rPr>
  </w:style>
  <w:style w:type="character" w:styleId="21">
    <w:name w:val="Emphasis"/>
    <w:basedOn w:val="10"/>
    <w:rPr>
      <w:i/>
    </w:rPr>
  </w:style>
  <w:style w:type="character" w:styleId="22">
    <w:name w:val="Hyperlink"/>
    <w:basedOn w:val="10"/>
    <w:rPr>
      <w:color w:val="0000FF"/>
      <w:u w:val="single"/>
    </w:rPr>
  </w:style>
  <w:style w:type="paragraph" w:customStyle="1" w:styleId="23">
    <w:name w:val="WPSOffice手动目录 1"/>
    <w:rPr>
      <w:rFonts w:ascii="Calibri" w:eastAsia="宋体" w:cs="Arial" w:hAnsi="Calibri"/>
      <w:lang w:val="en-US" w:eastAsia="zh-CN" w:bidi="ar-SA"/>
    </w:rPr>
  </w:style>
  <w:style w:type="character" w:customStyle="1" w:styleId="24">
    <w:name w:val="不明显强调1"/>
    <w:basedOn w:val="10"/>
    <w:rPr>
      <w:i/>
      <w:iCs/>
      <w:color w:val="7F7F7F"/>
    </w:rPr>
  </w:style>
  <w:style w:type="character" w:customStyle="1" w:styleId="25">
    <w:name w:val="item"/>
    <w:basedOn w:val="10"/>
  </w:style>
  <w:style w:type="character" w:customStyle="1" w:styleId="26">
    <w:name w:val="txt"/>
    <w:basedOn w:val="10"/>
  </w:style>
  <w:style w:type="character" w:customStyle="1" w:styleId="27">
    <w:name w:val="bjh-p"/>
    <w:basedOn w:val="10"/>
  </w:style>
  <w:style w:type="character" w:customStyle="1" w:styleId="28">
    <w:name w:val="day"/>
    <w:basedOn w:val="10"/>
  </w:style>
  <w:style w:type="paragraph" w:styleId="29">
    <w:name w:val="Date"/>
    <w:basedOn w:val="0"/>
    <w:next w:val="0"/>
    <w:pPr>
      <w:ind w:leftChars="2500" w:left="25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5</Pages>
  <Words>1512</Words>
  <Characters>1711</Characters>
  <Lines>78</Lines>
  <Paragraphs>31</Paragraphs>
  <CharactersWithSpaces>1725</CharactersWithSpaces>
  <Company>Organization</Company>
</Properties>
</file>

<file path=docProps/core.xml><?xml version="1.0" encoding="utf-8"?>
<cp:coreProperties xmlns:cp="http://schemas.openxmlformats.org/package/2006/metadata/core-properties" xmlns:dc="http://purl.org/dc/elements/1.1/" xmlns:dcterms="http://purl.org/dc/terms/" xmlns:xsi="http://www.w3.org/2001/XMLSchema-instance">
  <dc:creator>86189</dc:creator>
  <cp:lastModifiedBy>申德生</cp:lastModifiedBy>
  <cp:revision>2</cp:revision>
  <dcterms:created xsi:type="dcterms:W3CDTF">2026-06-04T01:54:00Z</dcterms:created>
  <dcterms:modified xsi:type="dcterms:W3CDTF">2026-06-05T01:43:58Z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2052-12.1.0.25835</vt:lpwstr>
  </property>
  <property fmtid="{D5CDD505-2E9C-101B-9397-08002B2CF9AE}" pid="3" name="ICV">
    <vt:lpwstr>16BD2586B13745CBB78290965E8712D4_13</vt:lpwstr>
  </property>
  <property fmtid="{D5CDD505-2E9C-101B-9397-08002B2CF9AE}" pid="4" name="KSOTemplateDocerSaveRecord">
    <vt:lpwstr>eyJoZGlkIjoiNDUyNzVkMDI3MWU4NzNkYjY3YzMxNmUxNDE2YzVlNzYiLCJ1c2VySWQiOiI2OTc5MDIifQ==</vt:lpwstr>
  </property>
</Properties>
</file>